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03" w:rsidRDefault="007D4903" w:rsidP="001A17B1">
      <w:pPr>
        <w:spacing w:after="0" w:line="360" w:lineRule="auto"/>
        <w:rPr>
          <w:rFonts w:ascii="Times New Roman" w:hAnsi="Times New Roman" w:cs="Times New Roman"/>
          <w:sz w:val="24"/>
          <w:szCs w:val="24"/>
          <w:lang w:val="sr-Cyrl-CS"/>
        </w:rPr>
      </w:pPr>
      <w:r w:rsidRPr="00A0424D">
        <w:rPr>
          <w:rFonts w:ascii="Times New Roman" w:hAnsi="Times New Roman" w:cs="Times New Roman"/>
          <w:sz w:val="24"/>
          <w:szCs w:val="24"/>
          <w:lang w:val="sr-Cyrl-CS"/>
        </w:rPr>
        <w:t xml:space="preserve">НАСТАВНО-НАУЧНОМ ВЕЋУ </w:t>
      </w:r>
    </w:p>
    <w:p w:rsidR="007D4903" w:rsidRPr="00A0424D" w:rsidRDefault="007D4903" w:rsidP="001A17B1">
      <w:pPr>
        <w:spacing w:after="0" w:line="360" w:lineRule="auto"/>
        <w:rPr>
          <w:rFonts w:ascii="Times New Roman" w:hAnsi="Times New Roman" w:cs="Times New Roman"/>
          <w:sz w:val="24"/>
          <w:szCs w:val="24"/>
          <w:lang w:val="sr-Cyrl-CS"/>
        </w:rPr>
      </w:pPr>
      <w:r w:rsidRPr="00A0424D">
        <w:rPr>
          <w:rFonts w:ascii="Times New Roman" w:hAnsi="Times New Roman" w:cs="Times New Roman"/>
          <w:sz w:val="24"/>
          <w:szCs w:val="24"/>
          <w:lang w:val="sr-Cyrl-CS"/>
        </w:rPr>
        <w:t xml:space="preserve">ФИЛОЗОФСКОГ ФАКУЛТЕТА </w:t>
      </w:r>
    </w:p>
    <w:p w:rsidR="007D4903" w:rsidRPr="00A0424D" w:rsidRDefault="007D4903" w:rsidP="001A17B1">
      <w:pPr>
        <w:spacing w:after="0" w:line="360" w:lineRule="auto"/>
        <w:rPr>
          <w:rFonts w:ascii="Times New Roman" w:hAnsi="Times New Roman" w:cs="Times New Roman"/>
          <w:sz w:val="24"/>
          <w:szCs w:val="24"/>
          <w:lang w:val="sr-Cyrl-CS"/>
        </w:rPr>
      </w:pPr>
      <w:r w:rsidRPr="00A0424D">
        <w:rPr>
          <w:rFonts w:ascii="Times New Roman" w:hAnsi="Times New Roman" w:cs="Times New Roman"/>
          <w:sz w:val="24"/>
          <w:szCs w:val="24"/>
          <w:lang w:val="sr-Cyrl-CS"/>
        </w:rPr>
        <w:t>УНИВЕРЗИТЕТА У БЕОГРАДУ</w:t>
      </w:r>
    </w:p>
    <w:p w:rsidR="007D4903" w:rsidRDefault="007D4903" w:rsidP="001A17B1">
      <w:pPr>
        <w:spacing w:after="0" w:line="360" w:lineRule="auto"/>
        <w:rPr>
          <w:rFonts w:ascii="Times New Roman" w:hAnsi="Times New Roman" w:cs="Times New Roman"/>
          <w:caps/>
          <w:sz w:val="24"/>
          <w:szCs w:val="24"/>
          <w:lang w:val="sr-Cyrl-CS"/>
        </w:rPr>
      </w:pPr>
    </w:p>
    <w:p w:rsidR="007D4903" w:rsidRPr="00A0424D" w:rsidRDefault="007D4903" w:rsidP="001A17B1">
      <w:pPr>
        <w:spacing w:after="0" w:line="360" w:lineRule="auto"/>
        <w:rPr>
          <w:rFonts w:ascii="Times New Roman" w:hAnsi="Times New Roman" w:cs="Times New Roman"/>
          <w:caps/>
          <w:sz w:val="24"/>
          <w:szCs w:val="24"/>
          <w:lang w:val="sr-Cyrl-CS"/>
        </w:rPr>
      </w:pPr>
      <w:r>
        <w:rPr>
          <w:rFonts w:ascii="Times New Roman" w:hAnsi="Times New Roman" w:cs="Times New Roman"/>
          <w:sz w:val="24"/>
          <w:szCs w:val="24"/>
          <w:lang w:val="sr-Cyrl-CS"/>
        </w:rPr>
        <w:t>ИЗВЕШТАЈ О ИСПУЊЕНОСТИ УСЛОВА ЗА ИЗБОР ДР МАРИЈЕ ЂОРЂЕВИЋ</w:t>
      </w:r>
      <w:bookmarkStart w:id="0" w:name="_GoBack"/>
      <w:bookmarkEnd w:id="0"/>
      <w:r>
        <w:rPr>
          <w:rFonts w:ascii="Times New Roman" w:hAnsi="Times New Roman" w:cs="Times New Roman"/>
          <w:sz w:val="24"/>
          <w:szCs w:val="24"/>
          <w:lang w:val="sr-Cyrl-CS"/>
        </w:rPr>
        <w:t xml:space="preserve"> У ЗВАЊЕ НАУЧНИ САРАДНИК </w:t>
      </w:r>
    </w:p>
    <w:p w:rsidR="007D4903" w:rsidRDefault="007D4903" w:rsidP="001A17B1">
      <w:pPr>
        <w:spacing w:after="0" w:line="360" w:lineRule="auto"/>
        <w:jc w:val="both"/>
        <w:rPr>
          <w:rFonts w:ascii="Times New Roman" w:hAnsi="Times New Roman" w:cs="Times New Roman"/>
          <w:sz w:val="24"/>
          <w:szCs w:val="24"/>
          <w:lang w:val="sr-Cyrl-CS"/>
        </w:rPr>
      </w:pPr>
    </w:p>
    <w:p w:rsidR="007D4903" w:rsidRDefault="007D4903" w:rsidP="001A17B1">
      <w:pPr>
        <w:spacing w:after="0" w:line="360" w:lineRule="auto"/>
        <w:jc w:val="both"/>
        <w:rPr>
          <w:rFonts w:ascii="Times New Roman" w:hAnsi="Times New Roman" w:cs="Times New Roman"/>
          <w:sz w:val="24"/>
          <w:szCs w:val="24"/>
          <w:lang w:val="sr-Cyrl-CS"/>
        </w:rPr>
      </w:pPr>
      <w:r w:rsidRPr="00D520A3">
        <w:rPr>
          <w:rFonts w:ascii="Times New Roman" w:hAnsi="Times New Roman" w:cs="Times New Roman"/>
          <w:sz w:val="24"/>
          <w:szCs w:val="24"/>
          <w:lang w:val="sr-Cyrl-CS"/>
        </w:rPr>
        <w:t>Наставно-научно</w:t>
      </w:r>
      <w:r>
        <w:rPr>
          <w:rFonts w:ascii="Times New Roman" w:hAnsi="Times New Roman" w:cs="Times New Roman"/>
          <w:sz w:val="24"/>
          <w:szCs w:val="24"/>
          <w:lang w:val="sr-Cyrl-CS"/>
        </w:rPr>
        <w:t xml:space="preserve"> веће</w:t>
      </w:r>
      <w:r w:rsidRPr="00D520A3">
        <w:rPr>
          <w:rFonts w:ascii="Times New Roman" w:hAnsi="Times New Roman" w:cs="Times New Roman"/>
          <w:sz w:val="24"/>
          <w:szCs w:val="24"/>
          <w:lang w:val="sr-Cyrl-CS"/>
        </w:rPr>
        <w:t xml:space="preserve"> Филозофског факултета у Београду </w:t>
      </w:r>
      <w:r>
        <w:rPr>
          <w:rFonts w:ascii="Times New Roman" w:hAnsi="Times New Roman" w:cs="Times New Roman"/>
          <w:sz w:val="24"/>
          <w:szCs w:val="24"/>
        </w:rPr>
        <w:t xml:space="preserve">на седници </w:t>
      </w:r>
      <w:r w:rsidRPr="00D520A3">
        <w:rPr>
          <w:rFonts w:ascii="Times New Roman" w:hAnsi="Times New Roman" w:cs="Times New Roman"/>
          <w:sz w:val="24"/>
          <w:szCs w:val="24"/>
          <w:lang w:val="sr-Cyrl-CS"/>
        </w:rPr>
        <w:t>одржаној</w:t>
      </w:r>
      <w:r>
        <w:rPr>
          <w:rFonts w:ascii="Times New Roman" w:hAnsi="Times New Roman" w:cs="Times New Roman"/>
          <w:sz w:val="24"/>
          <w:szCs w:val="24"/>
          <w:lang w:val="sr-Cyrl-CS"/>
        </w:rPr>
        <w:t xml:space="preserve"> 26.12.2019. године изабрало нас је у комисију за избор  др Марије Ђорђевић</w:t>
      </w:r>
      <w:r w:rsidRPr="0065711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истраживача-сарадника Филозофског факултета у Београду, у звање НАУЧНИ САРАДНИК.Након прегледа документације коју је приложила кандидаткиња, </w:t>
      </w:r>
      <w:r w:rsidRPr="0065711E">
        <w:rPr>
          <w:rFonts w:ascii="Times New Roman" w:hAnsi="Times New Roman" w:cs="Times New Roman"/>
          <w:sz w:val="24"/>
          <w:szCs w:val="24"/>
          <w:lang w:val="sr-Cyrl-CS"/>
        </w:rPr>
        <w:t xml:space="preserve">достављамо </w:t>
      </w:r>
      <w:r>
        <w:rPr>
          <w:rFonts w:ascii="Times New Roman" w:hAnsi="Times New Roman" w:cs="Times New Roman"/>
          <w:sz w:val="24"/>
          <w:szCs w:val="24"/>
          <w:lang w:val="sr-Cyrl-CS"/>
        </w:rPr>
        <w:t xml:space="preserve">Већу </w:t>
      </w:r>
      <w:r w:rsidRPr="0065711E">
        <w:rPr>
          <w:rFonts w:ascii="Times New Roman" w:hAnsi="Times New Roman" w:cs="Times New Roman"/>
          <w:sz w:val="24"/>
          <w:szCs w:val="24"/>
          <w:lang w:val="sr-Cyrl-CS"/>
        </w:rPr>
        <w:t xml:space="preserve">следећи </w:t>
      </w:r>
      <w:r>
        <w:rPr>
          <w:rFonts w:ascii="Times New Roman" w:hAnsi="Times New Roman" w:cs="Times New Roman"/>
          <w:sz w:val="24"/>
          <w:szCs w:val="24"/>
          <w:lang w:val="sr-Cyrl-CS"/>
        </w:rPr>
        <w:t>извештај.</w:t>
      </w:r>
    </w:p>
    <w:p w:rsidR="007D4903" w:rsidRPr="0065711E" w:rsidRDefault="007D4903" w:rsidP="001A17B1">
      <w:pPr>
        <w:spacing w:after="0" w:line="360" w:lineRule="auto"/>
        <w:jc w:val="both"/>
        <w:rPr>
          <w:rFonts w:ascii="Times New Roman" w:hAnsi="Times New Roman" w:cs="Times New Roman"/>
          <w:sz w:val="24"/>
          <w:szCs w:val="24"/>
          <w:lang w:val="sr-Cyrl-CS"/>
        </w:rPr>
      </w:pPr>
    </w:p>
    <w:p w:rsidR="007D4903" w:rsidRPr="0065711E" w:rsidRDefault="007D4903" w:rsidP="001A17B1">
      <w:pPr>
        <w:spacing w:after="0" w:line="360" w:lineRule="auto"/>
        <w:rPr>
          <w:rFonts w:ascii="Times New Roman" w:hAnsi="Times New Roman" w:cs="Times New Roman"/>
          <w:b/>
          <w:bCs/>
          <w:caps/>
          <w:sz w:val="24"/>
          <w:szCs w:val="24"/>
          <w:lang w:val="sr-Cyrl-CS"/>
        </w:rPr>
      </w:pPr>
      <w:r w:rsidRPr="0065711E">
        <w:rPr>
          <w:rFonts w:ascii="Times New Roman" w:hAnsi="Times New Roman" w:cs="Times New Roman"/>
          <w:b/>
          <w:bCs/>
          <w:caps/>
          <w:sz w:val="24"/>
          <w:szCs w:val="24"/>
          <w:lang w:val="sr-Cyrl-CS"/>
        </w:rPr>
        <w:t xml:space="preserve">1. </w:t>
      </w:r>
      <w:r w:rsidRPr="0065711E">
        <w:rPr>
          <w:rFonts w:ascii="Times New Roman" w:hAnsi="Times New Roman" w:cs="Times New Roman"/>
          <w:b/>
          <w:bCs/>
          <w:sz w:val="24"/>
          <w:szCs w:val="24"/>
          <w:lang w:val="sr-Cyrl-CS"/>
        </w:rPr>
        <w:t>Биографски подаци</w:t>
      </w:r>
    </w:p>
    <w:p w:rsidR="007D4903" w:rsidRPr="003A240C" w:rsidRDefault="007D4903" w:rsidP="001A17B1">
      <w:pPr>
        <w:spacing w:after="0" w:line="360" w:lineRule="auto"/>
        <w:jc w:val="both"/>
        <w:rPr>
          <w:rFonts w:ascii="Times New Roman" w:hAnsi="Times New Roman" w:cs="Times New Roman"/>
          <w:sz w:val="24"/>
          <w:szCs w:val="24"/>
          <w:lang/>
        </w:rPr>
      </w:pPr>
      <w:r w:rsidRPr="00616B04">
        <w:rPr>
          <w:rFonts w:ascii="Times New Roman" w:hAnsi="Times New Roman" w:cs="Times New Roman"/>
          <w:sz w:val="24"/>
          <w:szCs w:val="24"/>
          <w:lang/>
        </w:rPr>
        <w:t>Марија Ђорђевић (р. Јауковић)</w:t>
      </w:r>
      <w:r w:rsidRPr="001D6A38">
        <w:rPr>
          <w:rFonts w:ascii="Times New Roman" w:hAnsi="Times New Roman" w:cs="Times New Roman"/>
          <w:sz w:val="24"/>
          <w:szCs w:val="24"/>
          <w:lang/>
        </w:rPr>
        <w:t>рођена је 24. априла 1986. године у Београду. Дипломирала је на Одељењу за историју уметности, Филозофског факултета у Београду 2010.године, са просечном оценом током студија 9.42. На исто</w:t>
      </w:r>
      <w:r>
        <w:rPr>
          <w:rFonts w:ascii="Times New Roman" w:hAnsi="Times New Roman" w:cs="Times New Roman"/>
          <w:sz w:val="24"/>
          <w:szCs w:val="24"/>
          <w:lang/>
        </w:rPr>
        <w:t>м одељењу</w:t>
      </w:r>
      <w:r w:rsidRPr="001D6A38">
        <w:rPr>
          <w:rFonts w:ascii="Times New Roman" w:hAnsi="Times New Roman" w:cs="Times New Roman"/>
          <w:sz w:val="24"/>
          <w:szCs w:val="24"/>
          <w:lang/>
        </w:rPr>
        <w:t xml:space="preserve"> стекла је звање мастера 2012. године, одбраном завршног рада на тему „Култ модела комуникације: Друга херитологија“, са просечном оценом10.00. Своје образовање наставља на Рајнвардт академији у Амстердаму, и стиче звање мастера музелогије 2014.године о</w:t>
      </w:r>
      <w:r>
        <w:rPr>
          <w:rFonts w:ascii="Times New Roman" w:hAnsi="Times New Roman" w:cs="Times New Roman"/>
          <w:sz w:val="24"/>
          <w:szCs w:val="24"/>
          <w:lang/>
        </w:rPr>
        <w:t>дрбаном завршног рада на тему „Brotherhood and unity: visual language of identity, Employing performance for the formation and the interpretation of heritage of the Socialist Federal Republic of Yugoslavia</w:t>
      </w:r>
      <w:r w:rsidRPr="001D6A38">
        <w:rPr>
          <w:rFonts w:ascii="Times New Roman" w:hAnsi="Times New Roman" w:cs="Times New Roman"/>
          <w:sz w:val="24"/>
          <w:szCs w:val="24"/>
          <w:lang/>
        </w:rPr>
        <w:t>“. У јулу 2019.године</w:t>
      </w:r>
      <w:r>
        <w:rPr>
          <w:rFonts w:ascii="Times New Roman" w:hAnsi="Times New Roman" w:cs="Times New Roman"/>
          <w:sz w:val="24"/>
          <w:szCs w:val="24"/>
          <w:lang/>
        </w:rPr>
        <w:t>,</w:t>
      </w:r>
      <w:r w:rsidRPr="001D6A38">
        <w:rPr>
          <w:rFonts w:ascii="Times New Roman" w:hAnsi="Times New Roman" w:cs="Times New Roman"/>
          <w:sz w:val="24"/>
          <w:szCs w:val="24"/>
          <w:lang/>
        </w:rPr>
        <w:t xml:space="preserve"> одбранила је докторску дис</w:t>
      </w:r>
      <w:r>
        <w:rPr>
          <w:rFonts w:ascii="Times New Roman" w:hAnsi="Times New Roman" w:cs="Times New Roman"/>
          <w:sz w:val="24"/>
          <w:szCs w:val="24"/>
          <w:lang/>
        </w:rPr>
        <w:t>e</w:t>
      </w:r>
      <w:r w:rsidRPr="001D6A38">
        <w:rPr>
          <w:rFonts w:ascii="Times New Roman" w:hAnsi="Times New Roman" w:cs="Times New Roman"/>
          <w:sz w:val="24"/>
          <w:szCs w:val="24"/>
          <w:lang/>
        </w:rPr>
        <w:t xml:space="preserve">ртацију </w:t>
      </w:r>
      <w:r>
        <w:rPr>
          <w:rFonts w:ascii="Times New Roman" w:hAnsi="Times New Roman" w:cs="Times New Roman"/>
          <w:sz w:val="24"/>
          <w:szCs w:val="24"/>
          <w:lang/>
        </w:rPr>
        <w:t xml:space="preserve">под насловом </w:t>
      </w:r>
      <w:r w:rsidRPr="001D6A38">
        <w:rPr>
          <w:rFonts w:ascii="Times New Roman" w:hAnsi="Times New Roman" w:cs="Times New Roman"/>
          <w:sz w:val="24"/>
          <w:szCs w:val="24"/>
          <w:lang/>
        </w:rPr>
        <w:t>„</w:t>
      </w:r>
      <w:r>
        <w:rPr>
          <w:rFonts w:ascii="Times New Roman" w:hAnsi="Times New Roman" w:cs="Times New Roman"/>
          <w:sz w:val="24"/>
          <w:szCs w:val="24"/>
          <w:lang/>
        </w:rPr>
        <w:t>From Performing Commemoration to Performing Heritage: Space, body and action in Yugoslav and post-Yugoslav politics of remembrance</w:t>
      </w:r>
      <w:r w:rsidRPr="001D6A38">
        <w:rPr>
          <w:rFonts w:ascii="Times New Roman" w:hAnsi="Times New Roman" w:cs="Times New Roman"/>
          <w:sz w:val="24"/>
          <w:szCs w:val="24"/>
          <w:lang/>
        </w:rPr>
        <w:t xml:space="preserve">“ на Универзитету у Хилдесхајму, под менторством проф.др. Штефана Кранкенхагена. Докторска дисертација одбрањена је са  ознаком </w:t>
      </w:r>
      <w:r w:rsidRPr="00EF0603">
        <w:rPr>
          <w:rFonts w:ascii="Times New Roman" w:hAnsi="Times New Roman" w:cs="Times New Roman"/>
          <w:i/>
          <w:iCs/>
          <w:sz w:val="24"/>
          <w:szCs w:val="24"/>
          <w:lang/>
        </w:rPr>
        <w:t>magna cum laude</w:t>
      </w:r>
      <w:r w:rsidRPr="001D6A38">
        <w:rPr>
          <w:rFonts w:ascii="Times New Roman" w:hAnsi="Times New Roman" w:cs="Times New Roman"/>
          <w:sz w:val="24"/>
          <w:szCs w:val="24"/>
          <w:lang/>
        </w:rPr>
        <w:t>(</w:t>
      </w:r>
      <w:r w:rsidRPr="00EF0603">
        <w:rPr>
          <w:rFonts w:ascii="Times New Roman" w:hAnsi="Times New Roman" w:cs="Times New Roman"/>
          <w:i/>
          <w:iCs/>
          <w:sz w:val="24"/>
          <w:szCs w:val="24"/>
          <w:lang/>
        </w:rPr>
        <w:t>summa cum laude</w:t>
      </w:r>
      <w:r w:rsidRPr="001D6A38">
        <w:rPr>
          <w:rFonts w:ascii="Times New Roman" w:hAnsi="Times New Roman" w:cs="Times New Roman"/>
          <w:sz w:val="24"/>
          <w:szCs w:val="24"/>
          <w:lang/>
        </w:rPr>
        <w:t xml:space="preserve">за </w:t>
      </w:r>
      <w:r>
        <w:rPr>
          <w:rFonts w:ascii="Times New Roman" w:hAnsi="Times New Roman" w:cs="Times New Roman"/>
          <w:sz w:val="24"/>
          <w:szCs w:val="24"/>
          <w:lang/>
        </w:rPr>
        <w:t xml:space="preserve">усмену </w:t>
      </w:r>
      <w:r w:rsidRPr="001D6A38">
        <w:rPr>
          <w:rFonts w:ascii="Times New Roman" w:hAnsi="Times New Roman" w:cs="Times New Roman"/>
          <w:sz w:val="24"/>
          <w:szCs w:val="24"/>
          <w:lang/>
        </w:rPr>
        <w:t>одбрану)</w:t>
      </w:r>
      <w:r>
        <w:rPr>
          <w:rFonts w:ascii="Times New Roman" w:hAnsi="Times New Roman" w:cs="Times New Roman"/>
          <w:sz w:val="24"/>
          <w:szCs w:val="24"/>
          <w:lang/>
        </w:rPr>
        <w:t xml:space="preserve">. Марија Ђорђевић добитница </w:t>
      </w:r>
      <w:r w:rsidRPr="001D6A38">
        <w:rPr>
          <w:rFonts w:ascii="Times New Roman" w:hAnsi="Times New Roman" w:cs="Times New Roman"/>
          <w:sz w:val="24"/>
          <w:szCs w:val="24"/>
          <w:lang/>
        </w:rPr>
        <w:t xml:space="preserve">је </w:t>
      </w:r>
      <w:r>
        <w:rPr>
          <w:rFonts w:ascii="Times New Roman" w:hAnsi="Times New Roman" w:cs="Times New Roman"/>
          <w:sz w:val="24"/>
          <w:szCs w:val="24"/>
          <w:lang/>
        </w:rPr>
        <w:t>„</w:t>
      </w:r>
      <w:r w:rsidRPr="001D6A38">
        <w:rPr>
          <w:rFonts w:ascii="Times New Roman" w:hAnsi="Times New Roman" w:cs="Times New Roman"/>
          <w:sz w:val="24"/>
          <w:szCs w:val="24"/>
          <w:lang/>
        </w:rPr>
        <w:t>Награде за најистакнутије докторанте Факултета за студије културе и естетск</w:t>
      </w:r>
      <w:r>
        <w:rPr>
          <w:rFonts w:ascii="Times New Roman" w:hAnsi="Times New Roman" w:cs="Times New Roman"/>
          <w:sz w:val="24"/>
          <w:szCs w:val="24"/>
          <w:lang/>
        </w:rPr>
        <w:t>e</w:t>
      </w:r>
      <w:r w:rsidRPr="001D6A38">
        <w:rPr>
          <w:rFonts w:ascii="Times New Roman" w:hAnsi="Times New Roman" w:cs="Times New Roman"/>
          <w:sz w:val="24"/>
          <w:szCs w:val="24"/>
          <w:lang/>
        </w:rPr>
        <w:t xml:space="preserve"> комуникациј</w:t>
      </w:r>
      <w:r>
        <w:rPr>
          <w:rFonts w:ascii="Times New Roman" w:hAnsi="Times New Roman" w:cs="Times New Roman"/>
          <w:sz w:val="24"/>
          <w:szCs w:val="24"/>
          <w:lang/>
        </w:rPr>
        <w:t>e</w:t>
      </w:r>
      <w:r>
        <w:rPr>
          <w:rFonts w:ascii="Times New Roman" w:hAnsi="Times New Roman" w:cs="Times New Roman"/>
          <w:sz w:val="24"/>
          <w:szCs w:val="24"/>
          <w:lang/>
        </w:rPr>
        <w:t xml:space="preserve">“ коју додељује </w:t>
      </w:r>
      <w:r w:rsidRPr="001D6A38">
        <w:rPr>
          <w:rFonts w:ascii="Times New Roman" w:hAnsi="Times New Roman" w:cs="Times New Roman"/>
          <w:sz w:val="24"/>
          <w:szCs w:val="24"/>
          <w:lang/>
        </w:rPr>
        <w:t>Универзитет у Хилдесхајму</w:t>
      </w:r>
      <w:r>
        <w:rPr>
          <w:rFonts w:ascii="Times New Roman" w:hAnsi="Times New Roman" w:cs="Times New Roman"/>
          <w:sz w:val="24"/>
          <w:szCs w:val="24"/>
          <w:lang/>
        </w:rPr>
        <w:t xml:space="preserve">. </w:t>
      </w:r>
      <w:r w:rsidRPr="001D6A38">
        <w:rPr>
          <w:rFonts w:ascii="Times New Roman" w:hAnsi="Times New Roman" w:cs="Times New Roman"/>
          <w:sz w:val="24"/>
          <w:szCs w:val="24"/>
          <w:lang/>
        </w:rPr>
        <w:t xml:space="preserve">Од децембра 2018.године </w:t>
      </w:r>
      <w:r>
        <w:rPr>
          <w:rFonts w:ascii="Times New Roman" w:hAnsi="Times New Roman" w:cs="Times New Roman"/>
          <w:sz w:val="24"/>
          <w:szCs w:val="24"/>
          <w:lang/>
        </w:rPr>
        <w:t xml:space="preserve">запослена </w:t>
      </w:r>
      <w:r w:rsidRPr="001D6A38">
        <w:rPr>
          <w:rFonts w:ascii="Times New Roman" w:hAnsi="Times New Roman" w:cs="Times New Roman"/>
          <w:sz w:val="24"/>
          <w:szCs w:val="24"/>
          <w:lang/>
        </w:rPr>
        <w:t>је на Одељењу за историју уметности, Филозофс</w:t>
      </w:r>
      <w:r>
        <w:rPr>
          <w:rFonts w:ascii="Times New Roman" w:hAnsi="Times New Roman" w:cs="Times New Roman"/>
          <w:sz w:val="24"/>
          <w:szCs w:val="24"/>
          <w:lang/>
        </w:rPr>
        <w:t>к</w:t>
      </w:r>
      <w:r w:rsidRPr="001D6A38">
        <w:rPr>
          <w:rFonts w:ascii="Times New Roman" w:hAnsi="Times New Roman" w:cs="Times New Roman"/>
          <w:sz w:val="24"/>
          <w:szCs w:val="24"/>
          <w:lang/>
        </w:rPr>
        <w:t>ог факултета у Београду</w:t>
      </w:r>
      <w:r>
        <w:rPr>
          <w:rFonts w:ascii="Times New Roman" w:hAnsi="Times New Roman" w:cs="Times New Roman"/>
          <w:sz w:val="24"/>
          <w:szCs w:val="24"/>
          <w:lang/>
        </w:rPr>
        <w:t xml:space="preserve">, у оквиру пројекта </w:t>
      </w:r>
      <w:r w:rsidRPr="003A240C">
        <w:rPr>
          <w:rFonts w:ascii="Times New Roman" w:hAnsi="Times New Roman" w:cs="Times New Roman"/>
          <w:i/>
          <w:iCs/>
          <w:sz w:val="24"/>
          <w:szCs w:val="24"/>
          <w:lang/>
        </w:rPr>
        <w:t>Традиција и трансформација: историјско наслеђе и идентитет у Србији у 20.веку</w:t>
      </w:r>
      <w:r>
        <w:rPr>
          <w:rFonts w:ascii="Times New Roman" w:hAnsi="Times New Roman" w:cs="Times New Roman"/>
          <w:i/>
          <w:iCs/>
          <w:sz w:val="24"/>
          <w:szCs w:val="24"/>
          <w:lang/>
        </w:rPr>
        <w:t xml:space="preserve">, </w:t>
      </w:r>
      <w:r w:rsidRPr="003A240C">
        <w:rPr>
          <w:rFonts w:ascii="Times New Roman" w:hAnsi="Times New Roman" w:cs="Times New Roman"/>
          <w:sz w:val="24"/>
          <w:szCs w:val="24"/>
          <w:lang/>
        </w:rPr>
        <w:t>као истраживач – приправник повратник из иностранства</w:t>
      </w:r>
      <w:r>
        <w:rPr>
          <w:rFonts w:ascii="Times New Roman" w:hAnsi="Times New Roman" w:cs="Times New Roman"/>
          <w:sz w:val="24"/>
          <w:szCs w:val="24"/>
          <w:lang/>
        </w:rPr>
        <w:t>.</w:t>
      </w:r>
    </w:p>
    <w:p w:rsidR="007D4903" w:rsidRDefault="007D4903" w:rsidP="001A17B1">
      <w:pPr>
        <w:spacing w:after="0" w:line="360" w:lineRule="auto"/>
        <w:jc w:val="both"/>
        <w:rPr>
          <w:rFonts w:ascii="Times New Roman" w:hAnsi="Times New Roman" w:cs="Times New Roman"/>
          <w:b/>
          <w:bCs/>
          <w:sz w:val="24"/>
          <w:szCs w:val="24"/>
          <w:lang w:val="sr-Cyrl-CS"/>
        </w:rPr>
      </w:pPr>
    </w:p>
    <w:p w:rsidR="007D4903" w:rsidRPr="00F76FD8" w:rsidRDefault="007D4903" w:rsidP="001A17B1">
      <w:pPr>
        <w:spacing w:after="0" w:line="360" w:lineRule="auto"/>
        <w:jc w:val="both"/>
        <w:rPr>
          <w:rFonts w:ascii="Times New Roman" w:hAnsi="Times New Roman" w:cs="Times New Roman"/>
          <w:b/>
          <w:bCs/>
          <w:sz w:val="24"/>
          <w:szCs w:val="24"/>
          <w:lang w:val="sr-Cyrl-CS"/>
        </w:rPr>
      </w:pPr>
      <w:r w:rsidRPr="00F76FD8">
        <w:rPr>
          <w:rFonts w:ascii="Times New Roman" w:hAnsi="Times New Roman" w:cs="Times New Roman"/>
          <w:b/>
          <w:bCs/>
          <w:sz w:val="24"/>
          <w:szCs w:val="24"/>
          <w:lang w:val="sr-Cyrl-CS"/>
        </w:rPr>
        <w:t xml:space="preserve">2. Научни и стручни рад кандидата </w:t>
      </w:r>
    </w:p>
    <w:p w:rsidR="007D4903" w:rsidRPr="001D6A38" w:rsidRDefault="007D4903" w:rsidP="001A17B1">
      <w:pPr>
        <w:spacing w:after="0" w:line="360" w:lineRule="auto"/>
        <w:jc w:val="both"/>
        <w:rPr>
          <w:rFonts w:ascii="Times New Roman" w:hAnsi="Times New Roman" w:cs="Times New Roman"/>
          <w:sz w:val="24"/>
          <w:szCs w:val="24"/>
          <w:lang/>
        </w:rPr>
      </w:pPr>
      <w:r w:rsidRPr="001D6A38">
        <w:rPr>
          <w:rFonts w:ascii="Times New Roman" w:hAnsi="Times New Roman" w:cs="Times New Roman"/>
          <w:sz w:val="24"/>
          <w:szCs w:val="24"/>
          <w:lang/>
        </w:rPr>
        <w:t>У свом досадашњем раду учествовала је у више научних скупова међународног значаја, као и међународним радионицама и семинарима, од</w:t>
      </w:r>
      <w:r>
        <w:rPr>
          <w:rFonts w:ascii="Times New Roman" w:hAnsi="Times New Roman" w:cs="Times New Roman"/>
          <w:sz w:val="24"/>
          <w:szCs w:val="24"/>
          <w:lang/>
        </w:rPr>
        <w:t xml:space="preserve"> којих је неке и организовала. </w:t>
      </w:r>
      <w:r w:rsidRPr="001D6A38">
        <w:rPr>
          <w:rFonts w:ascii="Times New Roman" w:hAnsi="Times New Roman" w:cs="Times New Roman"/>
          <w:sz w:val="24"/>
          <w:szCs w:val="24"/>
          <w:lang/>
        </w:rPr>
        <w:t xml:space="preserve">У току докторских студија и ангажмана на Универзитету у Хилдесхајму успешно је реализовала више међуинституционалних академских сарадњи. У октобру 2016.године у сарадњи са Фридрих-Шилер Универзитетом у Јени, организовала је и излагала на радионици </w:t>
      </w:r>
      <w:r w:rsidRPr="003C06AC">
        <w:rPr>
          <w:rFonts w:ascii="Times New Roman" w:hAnsi="Times New Roman" w:cs="Times New Roman"/>
          <w:i/>
          <w:iCs/>
          <w:sz w:val="24"/>
          <w:szCs w:val="24"/>
        </w:rPr>
        <w:t>Lost and Found – Heimatlose und Heimatsuchende</w:t>
      </w:r>
      <w:r>
        <w:rPr>
          <w:rFonts w:ascii="Times New Roman" w:hAnsi="Times New Roman" w:cs="Times New Roman"/>
          <w:i/>
          <w:iCs/>
          <w:sz w:val="24"/>
          <w:szCs w:val="24"/>
          <w:lang/>
        </w:rPr>
        <w:t>Museen</w:t>
      </w:r>
      <w:r w:rsidRPr="001D6A38">
        <w:rPr>
          <w:rFonts w:ascii="Times New Roman" w:hAnsi="Times New Roman" w:cs="Times New Roman"/>
          <w:sz w:val="24"/>
          <w:szCs w:val="24"/>
          <w:lang/>
        </w:rPr>
        <w:t xml:space="preserve">, која је окупила историчаре, културологе и музеологе са циљем заједничког преисптивања могућности трансформације превасходно историјских музеја у тренуцима радикално промењених друштвених околности. Од октобра 2017.године један је од оснивача биануалних мастер семинарау оквиру међуинституционалне сарадње Универзитета у Хилдехајму. Први у серији семинара одржан је у Црној Гори у оквиру сарадње са Факултетом ументости на Цетињу и Центром за савремену уметност Црне Горе у Подгорици, под насловом  </w:t>
      </w:r>
      <w:r w:rsidRPr="003C06AC">
        <w:rPr>
          <w:rFonts w:ascii="Times New Roman" w:hAnsi="Times New Roman" w:cs="Times New Roman"/>
          <w:i/>
          <w:iCs/>
          <w:sz w:val="24"/>
          <w:szCs w:val="24"/>
          <w:lang/>
        </w:rPr>
        <w:t>Museum Europa. Socialist Monuments as Cases for the Performative Turn in Heritage Studies</w:t>
      </w:r>
      <w:r w:rsidRPr="001D6A38">
        <w:rPr>
          <w:rFonts w:ascii="Times New Roman" w:hAnsi="Times New Roman" w:cs="Times New Roman"/>
          <w:sz w:val="24"/>
          <w:szCs w:val="24"/>
          <w:lang/>
        </w:rPr>
        <w:t xml:space="preserve">. Други мастер семинар одржан је у октобру 2019. године у сарадњи са Хисторијским музејем у Сарајеву, Спомен-парком Долина хероја (Тјентиште) и Историјским архивом у Бања Луци. </w:t>
      </w:r>
    </w:p>
    <w:p w:rsidR="007D4903" w:rsidRDefault="007D4903" w:rsidP="001A17B1">
      <w:pPr>
        <w:spacing w:after="0" w:line="360" w:lineRule="auto"/>
        <w:jc w:val="both"/>
        <w:rPr>
          <w:rFonts w:ascii="Times New Roman" w:hAnsi="Times New Roman" w:cs="Times New Roman"/>
          <w:sz w:val="24"/>
          <w:szCs w:val="24"/>
        </w:rPr>
      </w:pPr>
    </w:p>
    <w:p w:rsidR="007D4903" w:rsidRPr="00F76FD8" w:rsidRDefault="007D4903" w:rsidP="001A17B1">
      <w:pPr>
        <w:spacing w:after="0" w:line="36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3</w:t>
      </w:r>
      <w:r w:rsidRPr="00F76FD8">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Радови који кандидата квалификују у звање научног сарадника</w:t>
      </w:r>
    </w:p>
    <w:p w:rsidR="007D4903" w:rsidRDefault="007D4903" w:rsidP="001A17B1">
      <w:pPr>
        <w:widowControl w:val="0"/>
        <w:autoSpaceDE w:val="0"/>
        <w:autoSpaceDN w:val="0"/>
        <w:adjustRightInd w:val="0"/>
        <w:spacing w:after="0" w:line="360" w:lineRule="auto"/>
        <w:ind w:right="4"/>
        <w:jc w:val="both"/>
        <w:rPr>
          <w:rFonts w:ascii="Times New Roman" w:hAnsi="Times New Roman" w:cs="Times New Roman"/>
          <w:sz w:val="24"/>
          <w:szCs w:val="24"/>
          <w:lang/>
        </w:rPr>
      </w:pPr>
      <w:r w:rsidRPr="00571BE4">
        <w:rPr>
          <w:rFonts w:ascii="Times New Roman" w:hAnsi="Times New Roman" w:cs="Times New Roman"/>
          <w:sz w:val="24"/>
          <w:szCs w:val="24"/>
          <w:lang/>
        </w:rPr>
        <w:t>Кандидаткињина научна библиографија обухвата 11 јединица, међу којима се и</w:t>
      </w:r>
      <w:r>
        <w:rPr>
          <w:rFonts w:ascii="Times New Roman" w:hAnsi="Times New Roman" w:cs="Times New Roman"/>
          <w:sz w:val="24"/>
          <w:szCs w:val="24"/>
          <w:lang/>
        </w:rPr>
        <w:t xml:space="preserve">стичу поглаваље </w:t>
      </w:r>
      <w:r w:rsidRPr="00571BE4">
        <w:rPr>
          <w:rFonts w:ascii="Times New Roman" w:hAnsi="Times New Roman" w:cs="Times New Roman"/>
          <w:sz w:val="24"/>
          <w:szCs w:val="24"/>
          <w:lang/>
        </w:rPr>
        <w:t>„</w:t>
      </w:r>
      <w:r w:rsidRPr="00571BE4">
        <w:rPr>
          <w:rFonts w:ascii="Times New Roman" w:hAnsi="Times New Roman" w:cs="Times New Roman"/>
          <w:sz w:val="24"/>
          <w:szCs w:val="24"/>
        </w:rPr>
        <w:t>How to remember?, Commemorating Peoples’ Liberation Struggle”</w:t>
      </w:r>
      <w:r w:rsidRPr="00571BE4">
        <w:rPr>
          <w:rFonts w:ascii="Times New Roman" w:hAnsi="Times New Roman" w:cs="Times New Roman"/>
          <w:sz w:val="24"/>
          <w:szCs w:val="24"/>
          <w:lang/>
        </w:rPr>
        <w:t xml:space="preserve"> у тематском зборнику водећег међународног</w:t>
      </w:r>
      <w:r>
        <w:rPr>
          <w:rFonts w:ascii="Times New Roman" w:hAnsi="Times New Roman" w:cs="Times New Roman"/>
          <w:sz w:val="24"/>
          <w:szCs w:val="24"/>
          <w:lang/>
        </w:rPr>
        <w:t xml:space="preserve"> значаја </w:t>
      </w:r>
      <w:r w:rsidRPr="00571BE4">
        <w:rPr>
          <w:rFonts w:ascii="Times New Roman" w:hAnsi="Times New Roman" w:cs="Times New Roman"/>
          <w:i/>
          <w:iCs/>
          <w:sz w:val="24"/>
          <w:szCs w:val="24"/>
        </w:rPr>
        <w:t>Art for Collective Use: Memorial Production in Socialist Yugoslavia 1945–1990</w:t>
      </w:r>
      <w:r w:rsidRPr="00571BE4">
        <w:rPr>
          <w:rFonts w:ascii="Times New Roman" w:hAnsi="Times New Roman" w:cs="Times New Roman"/>
          <w:sz w:val="24"/>
          <w:szCs w:val="24"/>
          <w:lang/>
        </w:rPr>
        <w:t>, Berlin: Igor Zabel Foundation/А</w:t>
      </w:r>
      <w:r w:rsidRPr="00571BE4">
        <w:rPr>
          <w:rFonts w:ascii="Times New Roman" w:hAnsi="Times New Roman" w:cs="Times New Roman"/>
          <w:sz w:val="24"/>
          <w:szCs w:val="24"/>
          <w:lang/>
        </w:rPr>
        <w:t>r</w:t>
      </w:r>
      <w:r w:rsidRPr="00571BE4">
        <w:rPr>
          <w:rFonts w:ascii="Times New Roman" w:hAnsi="Times New Roman" w:cs="Times New Roman"/>
          <w:sz w:val="24"/>
          <w:szCs w:val="24"/>
          <w:lang/>
        </w:rPr>
        <w:t>chiveBooks</w:t>
      </w:r>
      <w:r>
        <w:rPr>
          <w:rFonts w:ascii="Times New Roman" w:hAnsi="Times New Roman" w:cs="Times New Roman"/>
          <w:sz w:val="24"/>
          <w:szCs w:val="24"/>
          <w:lang/>
        </w:rPr>
        <w:t xml:space="preserve"> (</w:t>
      </w:r>
      <w:r w:rsidRPr="001A17B1">
        <w:rPr>
          <w:rFonts w:ascii="Times New Roman" w:hAnsi="Times New Roman" w:cs="Times New Roman"/>
          <w:b/>
          <w:bCs/>
          <w:sz w:val="24"/>
          <w:szCs w:val="24"/>
          <w:lang/>
        </w:rPr>
        <w:t>М13</w:t>
      </w:r>
      <w:r>
        <w:rPr>
          <w:rFonts w:ascii="Times New Roman" w:hAnsi="Times New Roman" w:cs="Times New Roman"/>
          <w:sz w:val="24"/>
          <w:szCs w:val="24"/>
          <w:lang/>
        </w:rPr>
        <w:t>)</w:t>
      </w:r>
      <w:r w:rsidRPr="00571BE4">
        <w:rPr>
          <w:rFonts w:ascii="Times New Roman" w:hAnsi="Times New Roman" w:cs="Times New Roman"/>
          <w:sz w:val="24"/>
          <w:szCs w:val="24"/>
          <w:lang/>
        </w:rPr>
        <w:t xml:space="preserve">, </w:t>
      </w:r>
      <w:r>
        <w:rPr>
          <w:rFonts w:ascii="Times New Roman" w:hAnsi="Times New Roman" w:cs="Times New Roman"/>
          <w:sz w:val="24"/>
          <w:szCs w:val="24"/>
          <w:lang/>
        </w:rPr>
        <w:t xml:space="preserve">поглавље </w:t>
      </w:r>
      <w:r w:rsidRPr="00571BE4">
        <w:rPr>
          <w:rFonts w:ascii="Times New Roman" w:hAnsi="Times New Roman" w:cs="Times New Roman"/>
          <w:sz w:val="24"/>
          <w:szCs w:val="24"/>
          <w:lang/>
        </w:rPr>
        <w:t>„From a Museum to an Artifact“</w:t>
      </w:r>
      <w:r w:rsidRPr="00571BE4">
        <w:rPr>
          <w:rFonts w:ascii="Times New Roman" w:hAnsi="Times New Roman" w:cs="Times New Roman"/>
          <w:sz w:val="24"/>
          <w:szCs w:val="24"/>
          <w:lang/>
        </w:rPr>
        <w:t xml:space="preserve"> у тематском</w:t>
      </w:r>
      <w:r>
        <w:rPr>
          <w:rFonts w:ascii="Times New Roman" w:hAnsi="Times New Roman" w:cs="Times New Roman"/>
          <w:sz w:val="24"/>
          <w:szCs w:val="24"/>
          <w:lang/>
        </w:rPr>
        <w:t xml:space="preserve"> зборнику међународног значаја </w:t>
      </w:r>
      <w:r w:rsidRPr="00571BE4">
        <w:rPr>
          <w:rFonts w:ascii="Times New Roman" w:hAnsi="Times New Roman" w:cs="Times New Roman"/>
          <w:i/>
          <w:iCs/>
          <w:sz w:val="24"/>
          <w:szCs w:val="24"/>
        </w:rPr>
        <w:t>Collecting and collections in times of war or political and social change</w:t>
      </w:r>
      <w:r w:rsidRPr="00571BE4">
        <w:rPr>
          <w:rFonts w:ascii="Times New Roman" w:hAnsi="Times New Roman" w:cs="Times New Roman"/>
          <w:sz w:val="24"/>
          <w:szCs w:val="24"/>
          <w:lang/>
        </w:rPr>
        <w:t xml:space="preserve">, Ljubljana: </w:t>
      </w:r>
      <w:r w:rsidRPr="00571BE4">
        <w:rPr>
          <w:rFonts w:ascii="Times New Roman" w:hAnsi="Times New Roman" w:cs="Times New Roman"/>
          <w:sz w:val="24"/>
          <w:szCs w:val="24"/>
        </w:rPr>
        <w:t xml:space="preserve">Zupanić's Collection, </w:t>
      </w:r>
      <w:r w:rsidRPr="00571BE4">
        <w:rPr>
          <w:rFonts w:ascii="Times New Roman" w:hAnsi="Times New Roman" w:cs="Times New Roman"/>
          <w:sz w:val="24"/>
          <w:szCs w:val="24"/>
          <w:lang/>
        </w:rPr>
        <w:t>pp.</w:t>
      </w:r>
      <w:r w:rsidRPr="00571BE4">
        <w:rPr>
          <w:rFonts w:ascii="Times New Roman" w:hAnsi="Times New Roman" w:cs="Times New Roman"/>
          <w:sz w:val="24"/>
          <w:szCs w:val="24"/>
        </w:rPr>
        <w:t xml:space="preserve"> 45-60</w:t>
      </w:r>
      <w:r>
        <w:rPr>
          <w:rFonts w:ascii="Times New Roman" w:hAnsi="Times New Roman" w:cs="Times New Roman"/>
          <w:sz w:val="24"/>
          <w:szCs w:val="24"/>
          <w:lang/>
        </w:rPr>
        <w:t xml:space="preserve"> (</w:t>
      </w:r>
      <w:r>
        <w:rPr>
          <w:rFonts w:ascii="Times New Roman" w:hAnsi="Times New Roman" w:cs="Times New Roman"/>
          <w:b/>
          <w:bCs/>
          <w:sz w:val="24"/>
          <w:szCs w:val="24"/>
          <w:lang/>
        </w:rPr>
        <w:t>М14</w:t>
      </w:r>
      <w:r>
        <w:rPr>
          <w:rFonts w:ascii="Times New Roman" w:hAnsi="Times New Roman" w:cs="Times New Roman"/>
          <w:sz w:val="24"/>
          <w:szCs w:val="24"/>
          <w:lang/>
        </w:rPr>
        <w:t>)</w:t>
      </w:r>
      <w:r w:rsidRPr="00571BE4">
        <w:rPr>
          <w:rFonts w:ascii="Times New Roman" w:hAnsi="Times New Roman" w:cs="Times New Roman"/>
          <w:sz w:val="24"/>
          <w:szCs w:val="24"/>
          <w:lang/>
        </w:rPr>
        <w:t>, те радови у националним часописма међународног значаја:“Performance of commemorating/Performing heritage, Roles of remembering and heritagization of WWII”, Гласник Етнографског института САНУ LXV (1), (2017): стр. 147-162</w:t>
      </w:r>
      <w:r>
        <w:rPr>
          <w:rFonts w:ascii="Times New Roman" w:hAnsi="Times New Roman" w:cs="Times New Roman"/>
          <w:sz w:val="24"/>
          <w:szCs w:val="24"/>
          <w:lang/>
        </w:rPr>
        <w:t xml:space="preserve"> (</w:t>
      </w:r>
      <w:r w:rsidRPr="001A17B1">
        <w:rPr>
          <w:rFonts w:ascii="Times New Roman" w:hAnsi="Times New Roman" w:cs="Times New Roman"/>
          <w:b/>
          <w:bCs/>
          <w:sz w:val="24"/>
          <w:szCs w:val="24"/>
          <w:lang/>
        </w:rPr>
        <w:t>М24</w:t>
      </w:r>
      <w:r>
        <w:rPr>
          <w:rFonts w:ascii="Times New Roman" w:hAnsi="Times New Roman" w:cs="Times New Roman"/>
          <w:sz w:val="24"/>
          <w:szCs w:val="24"/>
          <w:lang/>
        </w:rPr>
        <w:t>)</w:t>
      </w:r>
      <w:r w:rsidRPr="00571BE4">
        <w:rPr>
          <w:rFonts w:ascii="Times New Roman" w:hAnsi="Times New Roman" w:cs="Times New Roman"/>
          <w:sz w:val="24"/>
          <w:szCs w:val="24"/>
          <w:lang/>
        </w:rPr>
        <w:t>,  “To Share or to Keep, The afterlife of Yugoslavia's heritage and the contemporary heritage interpretation practicesс“, Политичка ми</w:t>
      </w:r>
      <w:r>
        <w:rPr>
          <w:rFonts w:ascii="Times New Roman" w:hAnsi="Times New Roman" w:cs="Times New Roman"/>
          <w:sz w:val="24"/>
          <w:szCs w:val="24"/>
          <w:lang/>
        </w:rPr>
        <w:t>сао, Vol. 51/5, (2015) стр. 80-</w:t>
      </w:r>
      <w:r w:rsidRPr="00571BE4">
        <w:rPr>
          <w:rFonts w:ascii="Times New Roman" w:hAnsi="Times New Roman" w:cs="Times New Roman"/>
          <w:sz w:val="24"/>
          <w:szCs w:val="24"/>
          <w:lang/>
        </w:rPr>
        <w:t>104</w:t>
      </w:r>
      <w:r>
        <w:rPr>
          <w:rFonts w:ascii="Times New Roman" w:hAnsi="Times New Roman" w:cs="Times New Roman"/>
          <w:sz w:val="24"/>
          <w:szCs w:val="24"/>
          <w:lang/>
        </w:rPr>
        <w:t>(</w:t>
      </w:r>
      <w:r w:rsidRPr="001A17B1">
        <w:rPr>
          <w:rFonts w:ascii="Times New Roman" w:hAnsi="Times New Roman" w:cs="Times New Roman"/>
          <w:b/>
          <w:bCs/>
          <w:sz w:val="24"/>
          <w:szCs w:val="24"/>
          <w:lang/>
        </w:rPr>
        <w:t>М24</w:t>
      </w:r>
      <w:r>
        <w:rPr>
          <w:rFonts w:ascii="Times New Roman" w:hAnsi="Times New Roman" w:cs="Times New Roman"/>
          <w:sz w:val="24"/>
          <w:szCs w:val="24"/>
          <w:lang/>
        </w:rPr>
        <w:t>)</w:t>
      </w:r>
      <w:r w:rsidRPr="00571BE4">
        <w:rPr>
          <w:rFonts w:ascii="Times New Roman" w:hAnsi="Times New Roman" w:cs="Times New Roman"/>
          <w:sz w:val="24"/>
          <w:szCs w:val="24"/>
          <w:lang/>
        </w:rPr>
        <w:t xml:space="preserve">. </w:t>
      </w:r>
      <w:r w:rsidRPr="00DB775D">
        <w:rPr>
          <w:rFonts w:ascii="Times New Roman" w:hAnsi="Times New Roman" w:cs="Times New Roman"/>
          <w:sz w:val="24"/>
          <w:szCs w:val="24"/>
          <w:lang/>
        </w:rPr>
        <w:t xml:space="preserve">Била је и гостујући коуредник часописа </w:t>
      </w:r>
      <w:r w:rsidRPr="00DB775D">
        <w:rPr>
          <w:rFonts w:ascii="Times New Roman" w:hAnsi="Times New Roman" w:cs="Times New Roman"/>
          <w:i/>
          <w:iCs/>
          <w:sz w:val="24"/>
          <w:szCs w:val="24"/>
          <w:lang/>
        </w:rPr>
        <w:t>Museum International</w:t>
      </w:r>
      <w:r w:rsidRPr="00DB775D">
        <w:rPr>
          <w:rFonts w:ascii="Times New Roman" w:hAnsi="Times New Roman" w:cs="Times New Roman"/>
          <w:sz w:val="24"/>
          <w:szCs w:val="24"/>
          <w:lang/>
        </w:rPr>
        <w:t xml:space="preserve"> (Л. Меијер-Ван Менш, З. Бавејсток, Е. Фрагеборг, М. Јауковић, Д. Кјутен, К.Порто, Т. Роженбергар, К. Смит, Е. Титмајер, П. Ван Менш, Х.Волграф (ур.) (2015). Museum Collections make Connections, Museum International Volume 65, Issue 1-4, ICOM and Blackwell Publishing Ltd</w:t>
      </w:r>
      <w:r>
        <w:rPr>
          <w:rFonts w:ascii="Times New Roman" w:hAnsi="Times New Roman" w:cs="Times New Roman"/>
          <w:sz w:val="24"/>
          <w:szCs w:val="24"/>
          <w:lang/>
        </w:rPr>
        <w:t xml:space="preserve"> - </w:t>
      </w:r>
      <w:r w:rsidRPr="00DB775D">
        <w:rPr>
          <w:rFonts w:ascii="Times New Roman" w:hAnsi="Times New Roman" w:cs="Times New Roman"/>
          <w:b/>
          <w:bCs/>
          <w:sz w:val="24"/>
          <w:szCs w:val="24"/>
          <w:lang/>
        </w:rPr>
        <w:t>М28б</w:t>
      </w:r>
      <w:r w:rsidRPr="00DB775D">
        <w:rPr>
          <w:rFonts w:ascii="Times New Roman" w:hAnsi="Times New Roman" w:cs="Times New Roman"/>
          <w:sz w:val="24"/>
          <w:szCs w:val="24"/>
          <w:lang/>
        </w:rPr>
        <w:t>)</w:t>
      </w:r>
      <w:r>
        <w:rPr>
          <w:rFonts w:ascii="Times New Roman" w:hAnsi="Times New Roman" w:cs="Times New Roman"/>
          <w:sz w:val="24"/>
          <w:szCs w:val="24"/>
          <w:lang/>
        </w:rPr>
        <w:t>, као и учесник пет међународних конференција у оквиру чијих публикација је објавила излагање у изводу (</w:t>
      </w:r>
      <w:r w:rsidRPr="00150A62">
        <w:rPr>
          <w:rFonts w:ascii="Times New Roman" w:hAnsi="Times New Roman" w:cs="Times New Roman"/>
          <w:b/>
          <w:bCs/>
          <w:sz w:val="24"/>
          <w:szCs w:val="24"/>
          <w:lang/>
        </w:rPr>
        <w:t>М34</w:t>
      </w:r>
      <w:r>
        <w:rPr>
          <w:rFonts w:ascii="Times New Roman" w:hAnsi="Times New Roman" w:cs="Times New Roman"/>
          <w:sz w:val="24"/>
          <w:szCs w:val="24"/>
          <w:lang/>
        </w:rPr>
        <w:t>).</w:t>
      </w:r>
    </w:p>
    <w:p w:rsidR="007D4903" w:rsidRPr="00571BE4" w:rsidRDefault="007D4903" w:rsidP="00DB775D">
      <w:pPr>
        <w:widowControl w:val="0"/>
        <w:autoSpaceDE w:val="0"/>
        <w:autoSpaceDN w:val="0"/>
        <w:adjustRightInd w:val="0"/>
        <w:spacing w:after="0" w:line="360" w:lineRule="auto"/>
        <w:ind w:right="4" w:firstLine="720"/>
        <w:jc w:val="both"/>
        <w:rPr>
          <w:rFonts w:ascii="Times New Roman" w:hAnsi="Times New Roman" w:cs="Times New Roman"/>
          <w:sz w:val="24"/>
          <w:szCs w:val="24"/>
          <w:lang/>
        </w:rPr>
      </w:pPr>
      <w:r w:rsidRPr="00571BE4">
        <w:rPr>
          <w:rFonts w:ascii="Times New Roman" w:hAnsi="Times New Roman" w:cs="Times New Roman"/>
          <w:sz w:val="24"/>
          <w:szCs w:val="24"/>
          <w:lang/>
        </w:rPr>
        <w:t xml:space="preserve">Реч је о у потпуности самосталним радовима у којима кандидаткиња </w:t>
      </w:r>
      <w:r>
        <w:rPr>
          <w:rFonts w:ascii="Times New Roman" w:hAnsi="Times New Roman" w:cs="Times New Roman"/>
          <w:sz w:val="24"/>
          <w:szCs w:val="24"/>
          <w:lang/>
        </w:rPr>
        <w:t xml:space="preserve">пре свега </w:t>
      </w:r>
      <w:r w:rsidRPr="00571BE4">
        <w:rPr>
          <w:rFonts w:ascii="Times New Roman" w:hAnsi="Times New Roman" w:cs="Times New Roman"/>
          <w:sz w:val="24"/>
          <w:szCs w:val="24"/>
          <w:lang/>
        </w:rPr>
        <w:t xml:space="preserve">истражује однос културе сећања (пре свега везаних за Други светски рад на простору Југославије), њених уметничких и друштвених импликација, те коначно њеног исходишта у музејској представи. Коначно, овај ток истраживања заокружен је у већ поменутој и јавно похваљеној докторској дисертацији </w:t>
      </w:r>
      <w:r w:rsidRPr="00571BE4">
        <w:rPr>
          <w:rFonts w:ascii="Times New Roman" w:hAnsi="Times New Roman" w:cs="Times New Roman"/>
          <w:i/>
          <w:iCs/>
          <w:sz w:val="24"/>
          <w:szCs w:val="24"/>
          <w:lang w:val="ru-RU"/>
        </w:rPr>
        <w:t>From Performing Commemoration to Performing Heritage: Space, body and action in Yugoslav and post-Yugoslav politics of remembrance</w:t>
      </w:r>
      <w:r w:rsidRPr="00571BE4">
        <w:rPr>
          <w:rFonts w:ascii="Times New Roman" w:hAnsi="Times New Roman" w:cs="Times New Roman"/>
          <w:sz w:val="24"/>
          <w:szCs w:val="24"/>
          <w:lang w:val="ru-RU"/>
        </w:rPr>
        <w:t xml:space="preserve"> (</w:t>
      </w:r>
      <w:r w:rsidRPr="00DB775D">
        <w:rPr>
          <w:rFonts w:ascii="Times New Roman" w:hAnsi="Times New Roman" w:cs="Times New Roman"/>
          <w:b/>
          <w:bCs/>
          <w:sz w:val="24"/>
          <w:szCs w:val="24"/>
          <w:lang/>
        </w:rPr>
        <w:t>М71</w:t>
      </w:r>
      <w:r w:rsidRPr="00571BE4">
        <w:rPr>
          <w:rFonts w:ascii="Times New Roman" w:hAnsi="Times New Roman" w:cs="Times New Roman"/>
          <w:sz w:val="24"/>
          <w:szCs w:val="24"/>
          <w:lang w:val="ru-RU"/>
        </w:rPr>
        <w:t>).</w:t>
      </w:r>
    </w:p>
    <w:p w:rsidR="007D4903" w:rsidRDefault="007D4903" w:rsidP="001A17B1">
      <w:pPr>
        <w:spacing w:after="0" w:line="360" w:lineRule="auto"/>
        <w:jc w:val="both"/>
        <w:rPr>
          <w:rFonts w:ascii="Times New Roman" w:hAnsi="Times New Roman" w:cs="Times New Roman"/>
          <w:b/>
          <w:bCs/>
          <w:sz w:val="24"/>
          <w:szCs w:val="24"/>
          <w:lang w:val="sr-Cyrl-CS"/>
        </w:rPr>
      </w:pPr>
    </w:p>
    <w:p w:rsidR="007D4903" w:rsidRPr="00F76FD8" w:rsidRDefault="007D4903" w:rsidP="001A17B1">
      <w:pPr>
        <w:spacing w:after="0" w:line="36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4</w:t>
      </w:r>
      <w:r w:rsidRPr="00F76FD8">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Квалитативни показатељи који кандидата квалификују у звање научног сарадника</w:t>
      </w:r>
    </w:p>
    <w:p w:rsidR="007D4903" w:rsidRPr="00BA650D" w:rsidRDefault="007D4903" w:rsidP="001A17B1">
      <w:pPr>
        <w:widowControl w:val="0"/>
        <w:autoSpaceDE w:val="0"/>
        <w:autoSpaceDN w:val="0"/>
        <w:adjustRightInd w:val="0"/>
        <w:spacing w:after="0" w:line="360" w:lineRule="auto"/>
        <w:ind w:right="4"/>
        <w:jc w:val="both"/>
        <w:rPr>
          <w:rFonts w:ascii="Times New Roman" w:hAnsi="Times New Roman" w:cs="Times New Roman"/>
          <w:sz w:val="24"/>
          <w:szCs w:val="24"/>
          <w:lang w:val="ru-RU"/>
        </w:rPr>
      </w:pPr>
      <w:r w:rsidRPr="00BA650D">
        <w:rPr>
          <w:rFonts w:ascii="Times New Roman" w:hAnsi="Times New Roman" w:cs="Times New Roman"/>
          <w:sz w:val="24"/>
          <w:szCs w:val="24"/>
          <w:lang w:val="ru-RU"/>
        </w:rPr>
        <w:t xml:space="preserve">Кандидаткиња Марија Ђорђевић је у досадашњем научном развоју забележила низ релеватних признања. Прво је у периоду од октобра 2014. године до октобра 2015. године била стипендисткиња Министартсва омладине и спорта Репубике Србије кроз програм финасирања студија на образовним институцијама у иностранству „Доситеја“, потом је 2016. године, постаје стипендисткиња DAAD-а у оквиру програма </w:t>
      </w:r>
      <w:r w:rsidRPr="00BA650D">
        <w:rPr>
          <w:rFonts w:ascii="Times New Roman" w:hAnsi="Times New Roman" w:cs="Times New Roman"/>
          <w:i/>
          <w:iCs/>
          <w:sz w:val="24"/>
          <w:szCs w:val="24"/>
          <w:lang w:val="ru-RU"/>
        </w:rPr>
        <w:t>Research Felowship for Young Academics and PhD,</w:t>
      </w:r>
      <w:r w:rsidRPr="00BA650D">
        <w:rPr>
          <w:rFonts w:ascii="Times New Roman" w:hAnsi="Times New Roman" w:cs="Times New Roman"/>
          <w:sz w:val="24"/>
          <w:szCs w:val="24"/>
          <w:lang w:val="ru-RU"/>
        </w:rPr>
        <w:t xml:space="preserve"> а од 2019. године има статус </w:t>
      </w:r>
      <w:r w:rsidRPr="00BA650D">
        <w:rPr>
          <w:rFonts w:ascii="Times New Roman" w:hAnsi="Times New Roman" w:cs="Times New Roman"/>
          <w:i/>
          <w:iCs/>
          <w:sz w:val="24"/>
          <w:szCs w:val="24"/>
          <w:lang w:val="ru-RU"/>
        </w:rPr>
        <w:t>CIM-Returning expert</w:t>
      </w:r>
      <w:r w:rsidRPr="00BA650D">
        <w:rPr>
          <w:rFonts w:ascii="Times New Roman" w:hAnsi="Times New Roman" w:cs="Times New Roman"/>
          <w:sz w:val="24"/>
          <w:szCs w:val="24"/>
          <w:lang w:val="ru-RU"/>
        </w:rPr>
        <w:t>-a, додељеног од стране GIZ-а (Немачке агенције за међународну сарадњу). Коначно, к</w:t>
      </w:r>
      <w:r w:rsidRPr="00BA650D">
        <w:rPr>
          <w:rFonts w:ascii="Times New Roman" w:hAnsi="Times New Roman" w:cs="Times New Roman"/>
          <w:sz w:val="24"/>
          <w:szCs w:val="24"/>
          <w:lang/>
        </w:rPr>
        <w:t>андидаткиња је</w:t>
      </w:r>
      <w:r w:rsidRPr="00BA650D">
        <w:rPr>
          <w:rFonts w:ascii="Times New Roman" w:hAnsi="Times New Roman" w:cs="Times New Roman"/>
          <w:sz w:val="24"/>
          <w:szCs w:val="24"/>
          <w:lang w:val="ru-RU"/>
        </w:rPr>
        <w:t xml:space="preserve"> 2019. године одбранила докторску дисeртацију под насловом </w:t>
      </w:r>
      <w:r w:rsidRPr="00BA650D">
        <w:rPr>
          <w:rFonts w:ascii="Times New Roman" w:hAnsi="Times New Roman" w:cs="Times New Roman"/>
          <w:i/>
          <w:iCs/>
          <w:sz w:val="24"/>
          <w:szCs w:val="24"/>
          <w:lang w:val="ru-RU"/>
        </w:rPr>
        <w:t xml:space="preserve">From Performing Commemoration to Performing Heritage: Space, body and action in Yugoslav and post-Yugoslav politics of remembrance </w:t>
      </w:r>
      <w:r w:rsidRPr="00BA650D">
        <w:rPr>
          <w:rFonts w:ascii="Times New Roman" w:hAnsi="Times New Roman" w:cs="Times New Roman"/>
          <w:sz w:val="24"/>
          <w:szCs w:val="24"/>
          <w:lang w:val="ru-RU"/>
        </w:rPr>
        <w:t xml:space="preserve">на Универзитету у Хилдесхајму (под менторством проф. др. Штефана Кранкенхагена) која је оцењена ознаком </w:t>
      </w:r>
      <w:r w:rsidRPr="00BA650D">
        <w:rPr>
          <w:rFonts w:ascii="Times New Roman" w:hAnsi="Times New Roman" w:cs="Times New Roman"/>
          <w:i/>
          <w:iCs/>
          <w:sz w:val="24"/>
          <w:szCs w:val="24"/>
          <w:lang w:val="ru-RU"/>
        </w:rPr>
        <w:t>magna cum laude</w:t>
      </w:r>
      <w:r w:rsidRPr="00BA650D">
        <w:rPr>
          <w:rFonts w:ascii="Times New Roman" w:hAnsi="Times New Roman" w:cs="Times New Roman"/>
          <w:sz w:val="24"/>
          <w:szCs w:val="24"/>
          <w:lang w:val="ru-RU"/>
        </w:rPr>
        <w:t xml:space="preserve"> (</w:t>
      </w:r>
      <w:r w:rsidRPr="00BA650D">
        <w:rPr>
          <w:rFonts w:ascii="Times New Roman" w:hAnsi="Times New Roman" w:cs="Times New Roman"/>
          <w:i/>
          <w:iCs/>
          <w:sz w:val="24"/>
          <w:szCs w:val="24"/>
          <w:lang w:val="ru-RU"/>
        </w:rPr>
        <w:t>summa cum laude</w:t>
      </w:r>
      <w:r w:rsidRPr="00BA650D">
        <w:rPr>
          <w:rFonts w:ascii="Times New Roman" w:hAnsi="Times New Roman" w:cs="Times New Roman"/>
          <w:sz w:val="24"/>
          <w:szCs w:val="24"/>
          <w:lang w:val="ru-RU"/>
        </w:rPr>
        <w:t xml:space="preserve"> за усмену одбрану), а уједно је и награђена „Наградом за најистакнутије докторанте Факултета за студије културе и естетскe комуникацијe“ коју додељује Универзитет у Хилдесхајму.</w:t>
      </w:r>
    </w:p>
    <w:p w:rsidR="007D4903" w:rsidRDefault="007D4903" w:rsidP="001A17B1">
      <w:pPr>
        <w:spacing w:after="0" w:line="360" w:lineRule="auto"/>
        <w:jc w:val="both"/>
        <w:rPr>
          <w:rFonts w:ascii="Times New Roman" w:hAnsi="Times New Roman" w:cs="Times New Roman"/>
          <w:sz w:val="24"/>
          <w:szCs w:val="24"/>
        </w:rPr>
      </w:pPr>
    </w:p>
    <w:p w:rsidR="007D4903" w:rsidRPr="00F76FD8" w:rsidRDefault="007D4903" w:rsidP="001A17B1">
      <w:pPr>
        <w:spacing w:after="0" w:line="36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5</w:t>
      </w:r>
      <w:r w:rsidRPr="00F76FD8">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Квантитативна оцена научних резултата</w:t>
      </w:r>
    </w:p>
    <w:p w:rsidR="007D4903" w:rsidRDefault="007D4903" w:rsidP="001A17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Током досадашњег научноистраживачког рада кандидаткиња је постигла резултат од 31 поен. Квантитатива оцена научних резултата кандидаткиње може се прегледно изразити, а у складу с </w:t>
      </w:r>
      <w:r w:rsidRPr="004D061E">
        <w:rPr>
          <w:rFonts w:ascii="Times New Roman" w:hAnsi="Times New Roman" w:cs="Times New Roman"/>
          <w:i/>
          <w:iCs/>
          <w:sz w:val="24"/>
          <w:szCs w:val="24"/>
        </w:rPr>
        <w:t>Правилник</w:t>
      </w:r>
      <w:r>
        <w:rPr>
          <w:rFonts w:ascii="Times New Roman" w:hAnsi="Times New Roman" w:cs="Times New Roman"/>
          <w:i/>
          <w:iCs/>
          <w:sz w:val="24"/>
          <w:szCs w:val="24"/>
        </w:rPr>
        <w:t>ом</w:t>
      </w:r>
      <w:r w:rsidRPr="004D061E">
        <w:rPr>
          <w:rFonts w:ascii="Times New Roman" w:hAnsi="Times New Roman" w:cs="Times New Roman"/>
          <w:i/>
          <w:iCs/>
          <w:sz w:val="24"/>
          <w:szCs w:val="24"/>
        </w:rPr>
        <w:t xml:space="preserve"> о поступку, начину вредновања и квантитативном исказивању научноистраживачких резултата истраживача</w:t>
      </w:r>
      <w:r>
        <w:rPr>
          <w:rFonts w:ascii="Times New Roman" w:hAnsi="Times New Roman" w:cs="Times New Roman"/>
          <w:sz w:val="24"/>
          <w:szCs w:val="24"/>
        </w:rPr>
        <w:t xml:space="preserve">, следећом табелом: </w:t>
      </w:r>
    </w:p>
    <w:p w:rsidR="007D4903" w:rsidRDefault="007D4903" w:rsidP="001A17B1">
      <w:pPr>
        <w:spacing w:after="0" w:line="360" w:lineRule="auto"/>
        <w:ind w:firstLine="720"/>
        <w:jc w:val="both"/>
        <w:rPr>
          <w:rFonts w:ascii="Times New Roman" w:hAnsi="Times New Roman" w:cs="Times New Roman"/>
          <w:sz w:val="24"/>
          <w:szCs w:val="24"/>
        </w:rPr>
      </w:pPr>
    </w:p>
    <w:p w:rsidR="007D4903" w:rsidRDefault="007D4903" w:rsidP="001A17B1">
      <w:pPr>
        <w:pBdr>
          <w:bottom w:val="single" w:sz="4" w:space="1" w:color="000000"/>
        </w:pBdr>
        <w:spacing w:after="0" w:line="360" w:lineRule="auto"/>
        <w:ind w:left="720" w:right="533"/>
        <w:rPr>
          <w:lang w:val="sr-Cyrl-CS"/>
        </w:rPr>
      </w:pPr>
      <w:r w:rsidRPr="00D520A3">
        <w:t>Ознака групе           Број радова             Вредност индикатора                  Укупна вредност</w:t>
      </w:r>
    </w:p>
    <w:p w:rsidR="007D4903" w:rsidRDefault="007D4903" w:rsidP="001A17B1">
      <w:pPr>
        <w:spacing w:after="0" w:line="360" w:lineRule="auto"/>
        <w:ind w:left="720" w:right="533"/>
        <w:rPr>
          <w:lang w:val="sr-Cyrl-CS"/>
        </w:rPr>
      </w:pPr>
      <w:r>
        <w:rPr>
          <w:lang w:val="sr-Cyrl-CS"/>
        </w:rPr>
        <w:t xml:space="preserve"> М13                                  1                                    7                                                    7</w:t>
      </w:r>
    </w:p>
    <w:p w:rsidR="007D4903" w:rsidRPr="00D520A3" w:rsidRDefault="007D4903" w:rsidP="001A17B1">
      <w:pPr>
        <w:spacing w:after="0" w:line="360" w:lineRule="auto"/>
        <w:ind w:left="720" w:right="533"/>
        <w:rPr>
          <w:lang w:val="sr-Cyrl-CS"/>
        </w:rPr>
      </w:pPr>
      <w:r>
        <w:t>M</w:t>
      </w:r>
      <w:r w:rsidRPr="00672A50">
        <w:rPr>
          <w:lang w:val="sr-Cyrl-CS"/>
        </w:rPr>
        <w:t>14</w:t>
      </w:r>
      <w:r w:rsidRPr="00672A50">
        <w:rPr>
          <w:lang w:val="sr-Cyrl-CS"/>
        </w:rPr>
        <w:tab/>
      </w:r>
      <w:r w:rsidRPr="00672A50">
        <w:rPr>
          <w:lang w:val="sr-Cyrl-CS"/>
        </w:rPr>
        <w:tab/>
        <w:t xml:space="preserve">       1</w:t>
      </w:r>
      <w:r w:rsidRPr="00672A50">
        <w:rPr>
          <w:lang w:val="sr-Cyrl-CS"/>
        </w:rPr>
        <w:tab/>
      </w:r>
      <w:r w:rsidRPr="00672A50">
        <w:rPr>
          <w:lang w:val="sr-Cyrl-CS"/>
        </w:rPr>
        <w:tab/>
      </w:r>
      <w:r w:rsidRPr="00672A50">
        <w:rPr>
          <w:lang w:val="sr-Cyrl-CS"/>
        </w:rPr>
        <w:tab/>
      </w:r>
      <w:r w:rsidRPr="00D520A3">
        <w:rPr>
          <w:lang w:val="sr-Cyrl-CS"/>
        </w:rPr>
        <w:t>5</w:t>
      </w:r>
      <w:r w:rsidRPr="00672A50">
        <w:rPr>
          <w:lang w:val="sr-Cyrl-CS"/>
        </w:rPr>
        <w:tab/>
      </w:r>
      <w:r w:rsidRPr="00672A50">
        <w:rPr>
          <w:lang w:val="sr-Cyrl-CS"/>
        </w:rPr>
        <w:tab/>
      </w:r>
      <w:r w:rsidRPr="00D520A3">
        <w:rPr>
          <w:lang w:val="sr-Cyrl-CS"/>
        </w:rPr>
        <w:t>5</w:t>
      </w:r>
    </w:p>
    <w:p w:rsidR="007D4903" w:rsidRDefault="007D4903" w:rsidP="001A17B1">
      <w:pPr>
        <w:spacing w:after="0" w:line="360" w:lineRule="auto"/>
        <w:ind w:left="720" w:right="533"/>
        <w:rPr>
          <w:lang w:val="sr-Cyrl-CS"/>
        </w:rPr>
      </w:pPr>
      <w:r>
        <w:rPr>
          <w:lang w:val="sr-Cyrl-CS"/>
        </w:rPr>
        <w:t>М28б 12,52,5</w:t>
      </w:r>
    </w:p>
    <w:p w:rsidR="007D4903" w:rsidRPr="00D520A3" w:rsidRDefault="007D4903" w:rsidP="001A17B1">
      <w:pPr>
        <w:spacing w:after="0" w:line="360" w:lineRule="auto"/>
        <w:ind w:left="720" w:right="533"/>
        <w:rPr>
          <w:lang w:val="sr-Cyrl-CS"/>
        </w:rPr>
      </w:pPr>
      <w:r>
        <w:rPr>
          <w:lang w:val="sr-Cyrl-CS"/>
        </w:rPr>
        <w:t>М242</w:t>
      </w:r>
      <w:r w:rsidRPr="00672A50">
        <w:rPr>
          <w:lang w:val="sr-Cyrl-CS"/>
        </w:rPr>
        <w:t>4</w:t>
      </w:r>
      <w:r>
        <w:rPr>
          <w:lang w:val="sr-Cyrl-CS"/>
        </w:rPr>
        <w:t>8</w:t>
      </w:r>
    </w:p>
    <w:p w:rsidR="007D4903" w:rsidRDefault="007D4903" w:rsidP="001A17B1">
      <w:pPr>
        <w:spacing w:after="0" w:line="360" w:lineRule="auto"/>
        <w:ind w:left="720" w:right="533"/>
        <w:rPr>
          <w:lang w:val="sr-Cyrl-CS"/>
        </w:rPr>
      </w:pPr>
      <w:r>
        <w:rPr>
          <w:lang w:val="sr-Cyrl-CS"/>
        </w:rPr>
        <w:t xml:space="preserve">        М3450,52,5</w:t>
      </w:r>
      <w:r>
        <w:rPr>
          <w:lang w:val="sr-Cyrl-CS"/>
        </w:rPr>
        <w:tab/>
      </w:r>
    </w:p>
    <w:p w:rsidR="007D4903" w:rsidRPr="00D520A3" w:rsidRDefault="007D4903" w:rsidP="001A17B1">
      <w:pPr>
        <w:pBdr>
          <w:bottom w:val="single" w:sz="4" w:space="1" w:color="000000"/>
        </w:pBdr>
        <w:spacing w:after="0" w:line="360" w:lineRule="auto"/>
        <w:ind w:left="720" w:right="533"/>
        <w:rPr>
          <w:lang w:val="sr-Cyrl-CS"/>
        </w:rPr>
      </w:pPr>
      <w:r>
        <w:rPr>
          <w:lang w:val="sr-Cyrl-CS"/>
        </w:rPr>
        <w:t xml:space="preserve">        М71                                  1                                    6                                                    6</w:t>
      </w:r>
    </w:p>
    <w:p w:rsidR="007D4903" w:rsidRPr="00D520A3" w:rsidRDefault="007D4903" w:rsidP="001A17B1">
      <w:pPr>
        <w:spacing w:after="0" w:line="360" w:lineRule="auto"/>
        <w:ind w:left="720" w:right="533"/>
        <w:rPr>
          <w:lang w:val="sr-Cyrl-CS"/>
        </w:rPr>
      </w:pPr>
      <w:r w:rsidRPr="00D520A3">
        <w:rPr>
          <w:lang w:val="sr-Cyrl-CS"/>
        </w:rPr>
        <w:t xml:space="preserve">                                                                                                                       Укупно:      </w:t>
      </w:r>
      <w:r>
        <w:rPr>
          <w:b/>
          <w:bCs/>
          <w:lang w:val="sr-Cyrl-CS"/>
        </w:rPr>
        <w:t>31</w:t>
      </w:r>
    </w:p>
    <w:p w:rsidR="007D4903" w:rsidRDefault="007D4903" w:rsidP="001A17B1">
      <w:pPr>
        <w:spacing w:after="0" w:line="360" w:lineRule="auto"/>
        <w:jc w:val="both"/>
        <w:rPr>
          <w:rFonts w:ascii="Times New Roman" w:hAnsi="Times New Roman" w:cs="Times New Roman"/>
          <w:sz w:val="24"/>
          <w:szCs w:val="24"/>
        </w:rPr>
      </w:pPr>
    </w:p>
    <w:p w:rsidR="007D4903" w:rsidRDefault="007D4903" w:rsidP="001A17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Постигути резултати у потпуности (по вредности и структури) испуњавају </w:t>
      </w:r>
      <w:r w:rsidRPr="0079661B">
        <w:rPr>
          <w:rFonts w:ascii="Times New Roman" w:hAnsi="Times New Roman" w:cs="Times New Roman"/>
          <w:i/>
          <w:iCs/>
          <w:sz w:val="24"/>
          <w:szCs w:val="24"/>
        </w:rPr>
        <w:t>Минималне  квантитативни  захтеви за  стицање  појединачних  научних  звања</w:t>
      </w:r>
      <w:r>
        <w:rPr>
          <w:rFonts w:ascii="Times New Roman" w:hAnsi="Times New Roman" w:cs="Times New Roman"/>
          <w:sz w:val="24"/>
          <w:szCs w:val="24"/>
        </w:rPr>
        <w:t>:</w:t>
      </w:r>
    </w:p>
    <w:p w:rsidR="007D4903" w:rsidRDefault="007D4903" w:rsidP="001A17B1">
      <w:pPr>
        <w:spacing w:after="0" w:line="360" w:lineRule="auto"/>
        <w:jc w:val="both"/>
        <w:rPr>
          <w:rFonts w:ascii="Times New Roman" w:hAnsi="Times New Roman" w:cs="Times New Roman"/>
          <w:sz w:val="24"/>
          <w:szCs w:val="24"/>
        </w:rPr>
      </w:pPr>
    </w:p>
    <w:tbl>
      <w:tblPr>
        <w:tblW w:w="0" w:type="auto"/>
        <w:tblInd w:w="-106" w:type="dxa"/>
        <w:tblBorders>
          <w:insideH w:val="single" w:sz="4" w:space="0" w:color="000000"/>
          <w:insideV w:val="single" w:sz="4" w:space="0" w:color="000000"/>
        </w:tblBorders>
        <w:tblLayout w:type="fixed"/>
        <w:tblLook w:val="0000"/>
      </w:tblPr>
      <w:tblGrid>
        <w:gridCol w:w="2298"/>
        <w:gridCol w:w="3907"/>
        <w:gridCol w:w="1166"/>
        <w:gridCol w:w="1330"/>
      </w:tblGrid>
      <w:tr w:rsidR="007D4903" w:rsidRPr="00672A50">
        <w:tc>
          <w:tcPr>
            <w:tcW w:w="2298" w:type="dxa"/>
            <w:vMerge w:val="restart"/>
            <w:vAlign w:val="center"/>
          </w:tcPr>
          <w:p w:rsidR="007D4903" w:rsidRDefault="007D4903" w:rsidP="001A17B1">
            <w:pPr>
              <w:spacing w:after="0" w:line="240" w:lineRule="auto"/>
              <w:jc w:val="center"/>
              <w:rPr>
                <w:sz w:val="20"/>
                <w:szCs w:val="20"/>
                <w:lang w:val="sr-Cyrl-CS"/>
              </w:rPr>
            </w:pPr>
          </w:p>
        </w:tc>
        <w:tc>
          <w:tcPr>
            <w:tcW w:w="6403" w:type="dxa"/>
            <w:gridSpan w:val="3"/>
            <w:vAlign w:val="center"/>
          </w:tcPr>
          <w:p w:rsidR="007D4903" w:rsidRDefault="007D4903" w:rsidP="001A17B1">
            <w:pPr>
              <w:spacing w:after="0" w:line="240" w:lineRule="auto"/>
              <w:jc w:val="center"/>
              <w:rPr>
                <w:sz w:val="20"/>
                <w:szCs w:val="20"/>
                <w:lang w:val="sr-Cyrl-CS"/>
              </w:rPr>
            </w:pPr>
            <w:r>
              <w:rPr>
                <w:sz w:val="20"/>
                <w:szCs w:val="20"/>
                <w:lang w:val="sr-Cyrl-CS"/>
              </w:rPr>
              <w:t>Потребно је да кандидатеима најмање ХХ поена,</w:t>
            </w:r>
          </w:p>
          <w:p w:rsidR="007D4903" w:rsidRPr="00672A50" w:rsidRDefault="007D4903" w:rsidP="001A17B1">
            <w:pPr>
              <w:spacing w:after="0" w:line="240" w:lineRule="auto"/>
              <w:jc w:val="center"/>
              <w:rPr>
                <w:lang w:val="sr-Cyrl-CS"/>
              </w:rPr>
            </w:pPr>
            <w:r>
              <w:rPr>
                <w:sz w:val="20"/>
                <w:szCs w:val="20"/>
                <w:lang w:val="sr-Cyrl-CS"/>
              </w:rPr>
              <w:t>који треба да припадају следећим категоријама:</w:t>
            </w:r>
          </w:p>
        </w:tc>
      </w:tr>
      <w:tr w:rsidR="007D4903">
        <w:tc>
          <w:tcPr>
            <w:tcW w:w="2298" w:type="dxa"/>
            <w:vMerge/>
            <w:vAlign w:val="center"/>
          </w:tcPr>
          <w:p w:rsidR="007D4903" w:rsidRDefault="007D4903" w:rsidP="001A17B1">
            <w:pPr>
              <w:snapToGrid w:val="0"/>
              <w:spacing w:after="0" w:line="240" w:lineRule="auto"/>
              <w:jc w:val="center"/>
              <w:rPr>
                <w:b/>
                <w:bCs/>
                <w:sz w:val="20"/>
                <w:szCs w:val="20"/>
                <w:lang w:val="sr-Cyrl-CS"/>
              </w:rPr>
            </w:pPr>
          </w:p>
        </w:tc>
        <w:tc>
          <w:tcPr>
            <w:tcW w:w="3907" w:type="dxa"/>
            <w:vAlign w:val="center"/>
          </w:tcPr>
          <w:p w:rsidR="007D4903" w:rsidRDefault="007D4903" w:rsidP="001A17B1">
            <w:pPr>
              <w:snapToGrid w:val="0"/>
              <w:spacing w:after="0" w:line="240" w:lineRule="auto"/>
              <w:jc w:val="center"/>
              <w:rPr>
                <w:sz w:val="20"/>
                <w:szCs w:val="20"/>
                <w:lang w:val="sr-Cyrl-CS"/>
              </w:rPr>
            </w:pPr>
          </w:p>
        </w:tc>
        <w:tc>
          <w:tcPr>
            <w:tcW w:w="1166" w:type="dxa"/>
            <w:vAlign w:val="center"/>
          </w:tcPr>
          <w:p w:rsidR="007D4903" w:rsidRDefault="007D4903" w:rsidP="001A17B1">
            <w:pPr>
              <w:spacing w:after="0" w:line="240" w:lineRule="auto"/>
              <w:jc w:val="center"/>
              <w:rPr>
                <w:sz w:val="20"/>
                <w:szCs w:val="20"/>
              </w:rPr>
            </w:pPr>
            <w:r>
              <w:rPr>
                <w:sz w:val="20"/>
                <w:szCs w:val="20"/>
                <w:lang w:val="sr-Cyrl-CS"/>
              </w:rPr>
              <w:t>Неопходно</w:t>
            </w:r>
          </w:p>
          <w:p w:rsidR="007D4903" w:rsidRDefault="007D4903" w:rsidP="001A17B1">
            <w:pPr>
              <w:spacing w:after="0" w:line="240" w:lineRule="auto"/>
              <w:jc w:val="center"/>
              <w:rPr>
                <w:sz w:val="20"/>
                <w:szCs w:val="20"/>
                <w:lang w:val="sr-Cyrl-CS"/>
              </w:rPr>
            </w:pPr>
            <w:r>
              <w:rPr>
                <w:sz w:val="20"/>
                <w:szCs w:val="20"/>
              </w:rPr>
              <w:t>XX=</w:t>
            </w:r>
          </w:p>
        </w:tc>
        <w:tc>
          <w:tcPr>
            <w:tcW w:w="1330" w:type="dxa"/>
            <w:vAlign w:val="center"/>
          </w:tcPr>
          <w:p w:rsidR="007D4903" w:rsidRDefault="007D4903" w:rsidP="001A17B1">
            <w:pPr>
              <w:spacing w:after="0" w:line="240" w:lineRule="auto"/>
              <w:jc w:val="center"/>
            </w:pPr>
            <w:r>
              <w:rPr>
                <w:sz w:val="20"/>
                <w:szCs w:val="20"/>
                <w:lang w:val="sr-Cyrl-CS"/>
              </w:rPr>
              <w:t>Остварено</w:t>
            </w:r>
          </w:p>
        </w:tc>
      </w:tr>
      <w:tr w:rsidR="007D4903" w:rsidRPr="00123611">
        <w:tc>
          <w:tcPr>
            <w:tcW w:w="2298" w:type="dxa"/>
            <w:vMerge w:val="restart"/>
          </w:tcPr>
          <w:p w:rsidR="007D4903" w:rsidRDefault="007D4903" w:rsidP="001A17B1">
            <w:pPr>
              <w:spacing w:after="0" w:line="240" w:lineRule="auto"/>
              <w:jc w:val="center"/>
              <w:rPr>
                <w:sz w:val="20"/>
                <w:szCs w:val="20"/>
                <w:lang w:val="sr-Cyrl-CS"/>
              </w:rPr>
            </w:pPr>
            <w:r>
              <w:rPr>
                <w:b/>
                <w:bCs/>
                <w:sz w:val="20"/>
                <w:szCs w:val="20"/>
                <w:lang w:val="sr-Cyrl-CS"/>
              </w:rPr>
              <w:t>Научни сарадник</w:t>
            </w:r>
          </w:p>
        </w:tc>
        <w:tc>
          <w:tcPr>
            <w:tcW w:w="3907" w:type="dxa"/>
            <w:vAlign w:val="center"/>
          </w:tcPr>
          <w:p w:rsidR="007D4903" w:rsidRDefault="007D4903" w:rsidP="001A17B1">
            <w:pPr>
              <w:spacing w:after="0" w:line="240" w:lineRule="auto"/>
              <w:rPr>
                <w:sz w:val="20"/>
                <w:szCs w:val="20"/>
                <w:lang w:val="sr-Cyrl-CS"/>
              </w:rPr>
            </w:pPr>
            <w:r>
              <w:rPr>
                <w:sz w:val="20"/>
                <w:szCs w:val="20"/>
                <w:lang w:val="sr-Cyrl-CS"/>
              </w:rPr>
              <w:t>Укупно</w:t>
            </w:r>
          </w:p>
        </w:tc>
        <w:tc>
          <w:tcPr>
            <w:tcW w:w="1166" w:type="dxa"/>
            <w:vAlign w:val="center"/>
          </w:tcPr>
          <w:p w:rsidR="007D4903" w:rsidRDefault="007D4903" w:rsidP="001A17B1">
            <w:pPr>
              <w:spacing w:after="0" w:line="240" w:lineRule="auto"/>
              <w:jc w:val="right"/>
              <w:rPr>
                <w:b/>
                <w:bCs/>
                <w:sz w:val="20"/>
                <w:szCs w:val="20"/>
                <w:lang w:val="sr-Cyrl-CS"/>
              </w:rPr>
            </w:pPr>
            <w:r>
              <w:rPr>
                <w:sz w:val="20"/>
                <w:szCs w:val="20"/>
                <w:lang w:val="sr-Cyrl-CS"/>
              </w:rPr>
              <w:t>16</w:t>
            </w:r>
          </w:p>
        </w:tc>
        <w:tc>
          <w:tcPr>
            <w:tcW w:w="1330" w:type="dxa"/>
            <w:vAlign w:val="center"/>
          </w:tcPr>
          <w:p w:rsidR="007D4903" w:rsidRPr="00DB775D" w:rsidRDefault="007D4903" w:rsidP="001A17B1">
            <w:pPr>
              <w:spacing w:after="0" w:line="240" w:lineRule="auto"/>
              <w:jc w:val="right"/>
              <w:rPr>
                <w:lang/>
              </w:rPr>
            </w:pPr>
            <w:r>
              <w:rPr>
                <w:b/>
                <w:bCs/>
                <w:sz w:val="20"/>
                <w:szCs w:val="20"/>
              </w:rPr>
              <w:t>42,5</w:t>
            </w:r>
          </w:p>
        </w:tc>
      </w:tr>
      <w:tr w:rsidR="007D4903" w:rsidRPr="00123611">
        <w:tc>
          <w:tcPr>
            <w:tcW w:w="2298" w:type="dxa"/>
            <w:vMerge/>
          </w:tcPr>
          <w:p w:rsidR="007D4903" w:rsidRDefault="007D4903" w:rsidP="001A17B1">
            <w:pPr>
              <w:snapToGrid w:val="0"/>
              <w:spacing w:after="0" w:line="240" w:lineRule="auto"/>
              <w:jc w:val="both"/>
              <w:rPr>
                <w:b/>
                <w:bCs/>
                <w:sz w:val="20"/>
                <w:szCs w:val="20"/>
                <w:lang w:val="sr-Cyrl-CS"/>
              </w:rPr>
            </w:pPr>
          </w:p>
        </w:tc>
        <w:tc>
          <w:tcPr>
            <w:tcW w:w="3907" w:type="dxa"/>
            <w:vAlign w:val="center"/>
          </w:tcPr>
          <w:p w:rsidR="007D4903" w:rsidRDefault="007D4903" w:rsidP="001A17B1">
            <w:pPr>
              <w:spacing w:after="0" w:line="240" w:lineRule="auto"/>
              <w:rPr>
                <w:sz w:val="20"/>
                <w:szCs w:val="20"/>
                <w:lang w:val="sr-Cyrl-CS"/>
              </w:rPr>
            </w:pPr>
            <w:r>
              <w:rPr>
                <w:sz w:val="20"/>
                <w:szCs w:val="20"/>
                <w:lang w:val="sr-Cyrl-CS"/>
              </w:rPr>
              <w:t>М10+М20+М31+М32+М33</w:t>
            </w:r>
          </w:p>
          <w:p w:rsidR="007D4903" w:rsidRPr="0072012B" w:rsidRDefault="007D4903" w:rsidP="001A17B1">
            <w:pPr>
              <w:spacing w:after="0" w:line="240" w:lineRule="auto"/>
              <w:rPr>
                <w:sz w:val="20"/>
                <w:szCs w:val="20"/>
                <w:lang w:val="sr-Cyrl-CS"/>
              </w:rPr>
            </w:pPr>
            <w:r>
              <w:rPr>
                <w:sz w:val="20"/>
                <w:szCs w:val="20"/>
                <w:lang w:val="sr-Cyrl-CS"/>
              </w:rPr>
              <w:t>+М41+М42+М43+М44+М45+М51+М52 ≥</w:t>
            </w:r>
          </w:p>
          <w:p w:rsidR="007D4903" w:rsidRPr="00123611" w:rsidRDefault="007D4903" w:rsidP="00466DDC">
            <w:pPr>
              <w:spacing w:after="0" w:line="240" w:lineRule="auto"/>
              <w:rPr>
                <w:b/>
                <w:bCs/>
                <w:sz w:val="20"/>
                <w:szCs w:val="20"/>
              </w:rPr>
            </w:pPr>
            <w:r>
              <w:rPr>
                <w:b/>
                <w:bCs/>
                <w:sz w:val="20"/>
                <w:szCs w:val="20"/>
              </w:rPr>
              <w:t>(M13</w:t>
            </w:r>
            <w:r w:rsidRPr="00123611">
              <w:rPr>
                <w:b/>
                <w:bCs/>
                <w:sz w:val="20"/>
                <w:szCs w:val="20"/>
              </w:rPr>
              <w:t>+</w:t>
            </w:r>
            <w:r>
              <w:rPr>
                <w:b/>
                <w:bCs/>
                <w:sz w:val="20"/>
                <w:szCs w:val="20"/>
                <w:lang/>
              </w:rPr>
              <w:t>М14+</w:t>
            </w:r>
            <w:r>
              <w:rPr>
                <w:b/>
                <w:bCs/>
                <w:sz w:val="20"/>
                <w:szCs w:val="20"/>
                <w:lang/>
              </w:rPr>
              <w:t>M28b+</w:t>
            </w:r>
            <w:r>
              <w:rPr>
                <w:b/>
                <w:bCs/>
                <w:sz w:val="20"/>
                <w:szCs w:val="20"/>
              </w:rPr>
              <w:t>M24</w:t>
            </w:r>
            <w:r w:rsidRPr="00123611">
              <w:rPr>
                <w:b/>
                <w:bCs/>
                <w:sz w:val="20"/>
                <w:szCs w:val="20"/>
              </w:rPr>
              <w:t>)</w:t>
            </w:r>
          </w:p>
        </w:tc>
        <w:tc>
          <w:tcPr>
            <w:tcW w:w="1166" w:type="dxa"/>
            <w:vAlign w:val="center"/>
          </w:tcPr>
          <w:p w:rsidR="007D4903" w:rsidRDefault="007D4903" w:rsidP="001A17B1">
            <w:pPr>
              <w:snapToGrid w:val="0"/>
              <w:spacing w:after="0" w:line="240" w:lineRule="auto"/>
              <w:jc w:val="right"/>
              <w:rPr>
                <w:sz w:val="20"/>
                <w:szCs w:val="20"/>
                <w:lang w:val="sr-Cyrl-CS"/>
              </w:rPr>
            </w:pPr>
          </w:p>
          <w:p w:rsidR="007D4903" w:rsidRDefault="007D4903" w:rsidP="001A17B1">
            <w:pPr>
              <w:spacing w:after="0" w:line="240" w:lineRule="auto"/>
              <w:jc w:val="right"/>
              <w:rPr>
                <w:b/>
                <w:bCs/>
                <w:sz w:val="20"/>
                <w:szCs w:val="20"/>
                <w:lang w:val="sr-Cyrl-CS"/>
              </w:rPr>
            </w:pPr>
            <w:r>
              <w:rPr>
                <w:sz w:val="20"/>
                <w:szCs w:val="20"/>
                <w:lang w:val="sr-Cyrl-CS"/>
              </w:rPr>
              <w:t>10</w:t>
            </w:r>
          </w:p>
        </w:tc>
        <w:tc>
          <w:tcPr>
            <w:tcW w:w="1330" w:type="dxa"/>
            <w:vAlign w:val="center"/>
          </w:tcPr>
          <w:p w:rsidR="007D4903" w:rsidRDefault="007D4903" w:rsidP="001A17B1">
            <w:pPr>
              <w:spacing w:after="0" w:line="240" w:lineRule="auto"/>
              <w:jc w:val="right"/>
            </w:pPr>
          </w:p>
          <w:p w:rsidR="007D4903" w:rsidRPr="00BA650D" w:rsidRDefault="007D4903" w:rsidP="001A17B1">
            <w:pPr>
              <w:spacing w:after="0" w:line="240" w:lineRule="auto"/>
              <w:jc w:val="right"/>
              <w:rPr>
                <w:lang/>
              </w:rPr>
            </w:pPr>
            <w:r>
              <w:t>2</w:t>
            </w:r>
            <w:r>
              <w:rPr>
                <w:lang/>
              </w:rPr>
              <w:t>2,5</w:t>
            </w:r>
          </w:p>
        </w:tc>
      </w:tr>
      <w:tr w:rsidR="007D4903" w:rsidRPr="00123611">
        <w:tc>
          <w:tcPr>
            <w:tcW w:w="2298" w:type="dxa"/>
            <w:vMerge/>
          </w:tcPr>
          <w:p w:rsidR="007D4903" w:rsidRDefault="007D4903" w:rsidP="001A17B1">
            <w:pPr>
              <w:snapToGrid w:val="0"/>
              <w:spacing w:after="0" w:line="240" w:lineRule="auto"/>
              <w:jc w:val="both"/>
              <w:rPr>
                <w:b/>
                <w:bCs/>
                <w:sz w:val="20"/>
                <w:szCs w:val="20"/>
                <w:lang w:val="sr-Cyrl-CS"/>
              </w:rPr>
            </w:pPr>
          </w:p>
        </w:tc>
        <w:tc>
          <w:tcPr>
            <w:tcW w:w="3907" w:type="dxa"/>
            <w:vAlign w:val="center"/>
          </w:tcPr>
          <w:p w:rsidR="007D4903" w:rsidRDefault="007D4903" w:rsidP="001A17B1">
            <w:pPr>
              <w:snapToGrid w:val="0"/>
              <w:spacing w:after="0" w:line="240" w:lineRule="auto"/>
              <w:rPr>
                <w:sz w:val="20"/>
                <w:szCs w:val="20"/>
                <w:lang w:val="sr-Cyrl-CS"/>
              </w:rPr>
            </w:pPr>
          </w:p>
          <w:p w:rsidR="007D4903" w:rsidRDefault="007D4903" w:rsidP="001A17B1">
            <w:pPr>
              <w:spacing w:after="0" w:line="240" w:lineRule="auto"/>
              <w:rPr>
                <w:sz w:val="20"/>
                <w:szCs w:val="20"/>
                <w:lang w:val="sr-Cyrl-CS"/>
              </w:rPr>
            </w:pPr>
            <w:r>
              <w:rPr>
                <w:sz w:val="20"/>
                <w:szCs w:val="20"/>
                <w:lang w:val="sr-Cyrl-CS"/>
              </w:rPr>
              <w:t>М11+М12+М21+М22+М23+М24</w:t>
            </w:r>
          </w:p>
          <w:p w:rsidR="007D4903" w:rsidRPr="0072012B" w:rsidRDefault="007D4903" w:rsidP="001A17B1">
            <w:pPr>
              <w:spacing w:after="0" w:line="240" w:lineRule="auto"/>
              <w:rPr>
                <w:sz w:val="20"/>
                <w:szCs w:val="20"/>
                <w:lang w:val="sr-Cyrl-CS"/>
              </w:rPr>
            </w:pPr>
            <w:r>
              <w:rPr>
                <w:sz w:val="20"/>
                <w:szCs w:val="20"/>
                <w:lang w:val="sr-Cyrl-CS"/>
              </w:rPr>
              <w:t>+М41+М42+М43+М51+М52 ≥</w:t>
            </w:r>
          </w:p>
          <w:p w:rsidR="007D4903" w:rsidRPr="00123611" w:rsidRDefault="007D4903" w:rsidP="001A17B1">
            <w:pPr>
              <w:spacing w:after="0" w:line="240" w:lineRule="auto"/>
              <w:rPr>
                <w:b/>
                <w:bCs/>
                <w:sz w:val="20"/>
                <w:szCs w:val="20"/>
              </w:rPr>
            </w:pPr>
            <w:r>
              <w:rPr>
                <w:b/>
                <w:bCs/>
                <w:sz w:val="20"/>
                <w:szCs w:val="20"/>
              </w:rPr>
              <w:t>(M13</w:t>
            </w:r>
            <w:r w:rsidRPr="00123611">
              <w:rPr>
                <w:b/>
                <w:bCs/>
                <w:sz w:val="20"/>
                <w:szCs w:val="20"/>
              </w:rPr>
              <w:t>+</w:t>
            </w:r>
            <w:r>
              <w:rPr>
                <w:b/>
                <w:bCs/>
                <w:sz w:val="20"/>
                <w:szCs w:val="20"/>
                <w:lang/>
              </w:rPr>
              <w:t>М14+</w:t>
            </w:r>
            <w:r>
              <w:rPr>
                <w:b/>
                <w:bCs/>
                <w:sz w:val="20"/>
                <w:szCs w:val="20"/>
              </w:rPr>
              <w:t>M24</w:t>
            </w:r>
            <w:r w:rsidRPr="00123611">
              <w:rPr>
                <w:b/>
                <w:bCs/>
                <w:sz w:val="20"/>
                <w:szCs w:val="20"/>
              </w:rPr>
              <w:t>)</w:t>
            </w:r>
          </w:p>
        </w:tc>
        <w:tc>
          <w:tcPr>
            <w:tcW w:w="1166" w:type="dxa"/>
            <w:vAlign w:val="center"/>
          </w:tcPr>
          <w:p w:rsidR="007D4903" w:rsidRDefault="007D4903" w:rsidP="001A17B1">
            <w:pPr>
              <w:snapToGrid w:val="0"/>
              <w:spacing w:after="0" w:line="240" w:lineRule="auto"/>
              <w:jc w:val="right"/>
              <w:rPr>
                <w:sz w:val="20"/>
                <w:szCs w:val="20"/>
                <w:lang w:val="sr-Cyrl-CS"/>
              </w:rPr>
            </w:pPr>
          </w:p>
          <w:p w:rsidR="007D4903" w:rsidRDefault="007D4903" w:rsidP="001A17B1">
            <w:pPr>
              <w:spacing w:after="0" w:line="240" w:lineRule="auto"/>
              <w:jc w:val="right"/>
              <w:rPr>
                <w:b/>
                <w:bCs/>
                <w:sz w:val="20"/>
                <w:szCs w:val="20"/>
                <w:lang w:val="sr-Cyrl-CS"/>
              </w:rPr>
            </w:pPr>
            <w:r>
              <w:rPr>
                <w:sz w:val="20"/>
                <w:szCs w:val="20"/>
                <w:lang w:val="sr-Cyrl-CS"/>
              </w:rPr>
              <w:t>7</w:t>
            </w:r>
          </w:p>
        </w:tc>
        <w:tc>
          <w:tcPr>
            <w:tcW w:w="1330" w:type="dxa"/>
            <w:vAlign w:val="center"/>
          </w:tcPr>
          <w:p w:rsidR="007D4903" w:rsidRDefault="007D4903" w:rsidP="001A17B1">
            <w:pPr>
              <w:spacing w:after="0" w:line="240" w:lineRule="auto"/>
              <w:jc w:val="right"/>
            </w:pPr>
          </w:p>
          <w:p w:rsidR="007D4903" w:rsidRPr="00123611" w:rsidRDefault="007D4903" w:rsidP="001A17B1">
            <w:pPr>
              <w:spacing w:after="0" w:line="240" w:lineRule="auto"/>
              <w:jc w:val="right"/>
            </w:pPr>
            <w:r>
              <w:t>20</w:t>
            </w:r>
          </w:p>
        </w:tc>
      </w:tr>
    </w:tbl>
    <w:p w:rsidR="007D4903" w:rsidRDefault="007D4903" w:rsidP="001A17B1">
      <w:pPr>
        <w:spacing w:after="0" w:line="360" w:lineRule="auto"/>
        <w:jc w:val="both"/>
        <w:rPr>
          <w:rFonts w:ascii="Times New Roman" w:hAnsi="Times New Roman" w:cs="Times New Roman"/>
          <w:sz w:val="24"/>
          <w:szCs w:val="24"/>
        </w:rPr>
      </w:pPr>
    </w:p>
    <w:p w:rsidR="007D4903" w:rsidRDefault="007D4903" w:rsidP="001A17B1">
      <w:pPr>
        <w:spacing w:after="0" w:line="360" w:lineRule="auto"/>
        <w:jc w:val="both"/>
        <w:rPr>
          <w:rFonts w:ascii="Times New Roman" w:hAnsi="Times New Roman" w:cs="Times New Roman"/>
          <w:b/>
          <w:bCs/>
          <w:sz w:val="24"/>
          <w:szCs w:val="24"/>
          <w:lang w:val="sr-Cyrl-CS"/>
        </w:rPr>
      </w:pPr>
    </w:p>
    <w:p w:rsidR="007D4903" w:rsidRPr="00571BE4" w:rsidRDefault="007D4903" w:rsidP="001A17B1">
      <w:pPr>
        <w:spacing w:after="0" w:line="36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6</w:t>
      </w:r>
      <w:r w:rsidRPr="00F76FD8">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Делатност у образовању и формирању научних кадрова</w:t>
      </w:r>
    </w:p>
    <w:p w:rsidR="007D4903" w:rsidRDefault="007D4903" w:rsidP="001A17B1">
      <w:pPr>
        <w:widowControl w:val="0"/>
        <w:autoSpaceDE w:val="0"/>
        <w:autoSpaceDN w:val="0"/>
        <w:adjustRightInd w:val="0"/>
        <w:spacing w:after="0" w:line="360" w:lineRule="auto"/>
        <w:ind w:right="4" w:firstLine="720"/>
        <w:jc w:val="both"/>
        <w:rPr>
          <w:rFonts w:ascii="Times New Roman" w:hAnsi="Times New Roman" w:cs="Times New Roman"/>
          <w:sz w:val="24"/>
          <w:szCs w:val="24"/>
          <w:lang/>
        </w:rPr>
      </w:pPr>
      <w:r w:rsidRPr="00571BE4">
        <w:rPr>
          <w:rFonts w:ascii="Times New Roman" w:hAnsi="Times New Roman" w:cs="Times New Roman"/>
          <w:sz w:val="24"/>
          <w:szCs w:val="24"/>
          <w:lang/>
        </w:rPr>
        <w:t xml:space="preserve">Кандидаткиња има нарочито искуство у међународној сарадњи. Тако је у периоду од јануара 2015. године до децембра 2016. године радила као истраживач – сарадник на Институту за театар, медије и популарну културу, Универзитета у Хилдесхајму, а у оквиру исте научно-истраживачке институицје била је запослена као предавач од априла 2016. године до септембра 2017. године. Такође,  току докторских студија и ангажмана на Универзитету у Хилдесхајму успешно је реализовала више међуинституционалних академских сарадњи: са Фридрих-Шилер Универзитетом у Јени, организовала је и излагала на радионици </w:t>
      </w:r>
      <w:r w:rsidRPr="00571BE4">
        <w:rPr>
          <w:rFonts w:ascii="Times New Roman" w:hAnsi="Times New Roman" w:cs="Times New Roman"/>
          <w:i/>
          <w:iCs/>
          <w:sz w:val="24"/>
          <w:szCs w:val="24"/>
          <w:lang/>
        </w:rPr>
        <w:t xml:space="preserve">Lost and Found – Heimatlose und Heimatsuchende Museen </w:t>
      </w:r>
      <w:r w:rsidRPr="00571BE4">
        <w:rPr>
          <w:rFonts w:ascii="Times New Roman" w:hAnsi="Times New Roman" w:cs="Times New Roman"/>
          <w:sz w:val="24"/>
          <w:szCs w:val="24"/>
          <w:lang/>
        </w:rPr>
        <w:t>(која је окупила историчаре, културологе и музеологе са циљем заједничког преисптивања могућности трансформације превасходно историјских музеја у тренуцима радикално промењених друштвених околности),  а од октобра 2017. године један је од оснивача биануалних мастер семинара у оквиру међуинституционалне сарадње Универзитета у Хилдехајму.</w:t>
      </w:r>
    </w:p>
    <w:p w:rsidR="007D4903" w:rsidRDefault="007D4903" w:rsidP="001A17B1">
      <w:pPr>
        <w:spacing w:after="0" w:line="360" w:lineRule="auto"/>
        <w:jc w:val="both"/>
        <w:rPr>
          <w:rFonts w:ascii="Times New Roman" w:hAnsi="Times New Roman" w:cs="Times New Roman"/>
          <w:b/>
          <w:bCs/>
          <w:sz w:val="24"/>
          <w:szCs w:val="24"/>
          <w:lang w:val="sr-Cyrl-CS"/>
        </w:rPr>
      </w:pPr>
    </w:p>
    <w:p w:rsidR="007D4903" w:rsidRPr="00616B04" w:rsidRDefault="007D4903" w:rsidP="001A17B1">
      <w:pPr>
        <w:spacing w:after="0" w:line="360" w:lineRule="auto"/>
        <w:jc w:val="both"/>
        <w:rPr>
          <w:rFonts w:ascii="Times New Roman" w:hAnsi="Times New Roman" w:cs="Times New Roman"/>
          <w:b/>
          <w:bCs/>
          <w:sz w:val="24"/>
          <w:szCs w:val="24"/>
          <w:lang/>
        </w:rPr>
      </w:pPr>
      <w:r>
        <w:rPr>
          <w:rFonts w:ascii="Times New Roman" w:hAnsi="Times New Roman" w:cs="Times New Roman"/>
          <w:b/>
          <w:bCs/>
          <w:sz w:val="24"/>
          <w:szCs w:val="24"/>
          <w:lang w:val="sr-Cyrl-CS"/>
        </w:rPr>
        <w:t>7</w:t>
      </w:r>
      <w:r w:rsidRPr="00F76FD8">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Закључак</w:t>
      </w:r>
    </w:p>
    <w:p w:rsidR="007D4903" w:rsidRDefault="007D4903" w:rsidP="001A17B1">
      <w:pPr>
        <w:spacing w:after="0" w:line="36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Кандидаткиња </w:t>
      </w:r>
      <w:r w:rsidRPr="001C65A4">
        <w:rPr>
          <w:rFonts w:ascii="Times New Roman" w:hAnsi="Times New Roman" w:cs="Times New Roman"/>
          <w:sz w:val="24"/>
          <w:szCs w:val="24"/>
          <w:lang w:val="sr-Cyrl-CS"/>
        </w:rPr>
        <w:t xml:space="preserve">др </w:t>
      </w:r>
      <w:r>
        <w:rPr>
          <w:rFonts w:ascii="Times New Roman" w:hAnsi="Times New Roman" w:cs="Times New Roman"/>
          <w:sz w:val="24"/>
          <w:szCs w:val="24"/>
          <w:lang/>
        </w:rPr>
        <w:t>Марија Ђорђевић</w:t>
      </w:r>
      <w:r>
        <w:rPr>
          <w:rFonts w:ascii="Times New Roman" w:hAnsi="Times New Roman" w:cs="Times New Roman"/>
          <w:sz w:val="24"/>
          <w:szCs w:val="24"/>
          <w:lang w:val="sr-Cyrl-CS"/>
        </w:rPr>
        <w:t xml:space="preserve"> у потпуности је испунила тражене квантитативне и квалитативне услове </w:t>
      </w:r>
      <w:r w:rsidRPr="001C65A4">
        <w:rPr>
          <w:rFonts w:ascii="Times New Roman" w:hAnsi="Times New Roman" w:cs="Times New Roman"/>
          <w:sz w:val="24"/>
          <w:szCs w:val="24"/>
          <w:lang w:val="sr-Cyrl-CS"/>
        </w:rPr>
        <w:t>за стицање звања НАУЧНИ САРАДНИК</w:t>
      </w:r>
      <w:r>
        <w:rPr>
          <w:rFonts w:ascii="Times New Roman" w:hAnsi="Times New Roman" w:cs="Times New Roman"/>
          <w:sz w:val="24"/>
          <w:szCs w:val="24"/>
          <w:lang w:val="sr-Cyrl-CS"/>
        </w:rPr>
        <w:t xml:space="preserve"> предвиђене </w:t>
      </w:r>
      <w:r w:rsidRPr="004D061E">
        <w:rPr>
          <w:rFonts w:ascii="Times New Roman" w:hAnsi="Times New Roman" w:cs="Times New Roman"/>
          <w:i/>
          <w:iCs/>
          <w:sz w:val="24"/>
          <w:szCs w:val="24"/>
        </w:rPr>
        <w:t>Правилник</w:t>
      </w:r>
      <w:r>
        <w:rPr>
          <w:rFonts w:ascii="Times New Roman" w:hAnsi="Times New Roman" w:cs="Times New Roman"/>
          <w:i/>
          <w:iCs/>
          <w:sz w:val="24"/>
          <w:szCs w:val="24"/>
        </w:rPr>
        <w:t>ом</w:t>
      </w:r>
      <w:r w:rsidRPr="004D061E">
        <w:rPr>
          <w:rFonts w:ascii="Times New Roman" w:hAnsi="Times New Roman" w:cs="Times New Roman"/>
          <w:i/>
          <w:iCs/>
          <w:sz w:val="24"/>
          <w:szCs w:val="24"/>
        </w:rPr>
        <w:t xml:space="preserve"> о поступку, начину вредновања и квантитативном исказивању научноистраживачких резултата истраживача</w:t>
      </w:r>
      <w:r>
        <w:rPr>
          <w:rFonts w:ascii="Times New Roman" w:hAnsi="Times New Roman" w:cs="Times New Roman"/>
          <w:sz w:val="24"/>
          <w:szCs w:val="24"/>
        </w:rPr>
        <w:t>.</w:t>
      </w:r>
      <w:r>
        <w:rPr>
          <w:rFonts w:ascii="Times New Roman" w:hAnsi="Times New Roman" w:cs="Times New Roman"/>
          <w:sz w:val="24"/>
          <w:szCs w:val="24"/>
          <w:lang w:val="sr-Cyrl-CS"/>
        </w:rPr>
        <w:t xml:space="preserve"> Стога, на основу закључака овог извештаја</w:t>
      </w:r>
      <w:r w:rsidRPr="001C65A4">
        <w:rPr>
          <w:rFonts w:ascii="Times New Roman" w:hAnsi="Times New Roman" w:cs="Times New Roman"/>
          <w:sz w:val="24"/>
          <w:szCs w:val="24"/>
          <w:lang w:val="sr-Cyrl-CS"/>
        </w:rPr>
        <w:t xml:space="preserve"> и увида у поднета документа, комисија предлаже Наставно-научном већу Филозофског факултета у Београду да </w:t>
      </w:r>
      <w:r>
        <w:rPr>
          <w:rFonts w:ascii="Times New Roman" w:hAnsi="Times New Roman" w:cs="Times New Roman"/>
          <w:sz w:val="24"/>
          <w:szCs w:val="24"/>
          <w:lang w:val="sr-Cyrl-CS"/>
        </w:rPr>
        <w:t>прихватипредлог</w:t>
      </w:r>
      <w:r w:rsidRPr="001C65A4">
        <w:rPr>
          <w:rFonts w:ascii="Times New Roman" w:hAnsi="Times New Roman" w:cs="Times New Roman"/>
          <w:sz w:val="24"/>
          <w:szCs w:val="24"/>
          <w:lang w:val="sr-Cyrl-CS"/>
        </w:rPr>
        <w:t xml:space="preserve"> за избор др </w:t>
      </w:r>
      <w:r>
        <w:rPr>
          <w:rFonts w:ascii="Times New Roman" w:hAnsi="Times New Roman" w:cs="Times New Roman"/>
          <w:sz w:val="24"/>
          <w:szCs w:val="24"/>
          <w:lang w:val="sr-Cyrl-CS"/>
        </w:rPr>
        <w:t>Марије Ђорђевић</w:t>
      </w:r>
      <w:r w:rsidRPr="001C65A4">
        <w:rPr>
          <w:rFonts w:ascii="Times New Roman" w:hAnsi="Times New Roman" w:cs="Times New Roman"/>
          <w:sz w:val="24"/>
          <w:szCs w:val="24"/>
          <w:lang w:val="sr-Cyrl-CS"/>
        </w:rPr>
        <w:t xml:space="preserve"> у звање НАУЧНИ САРАДНИК.</w:t>
      </w:r>
    </w:p>
    <w:p w:rsidR="007D4903" w:rsidRDefault="007D4903" w:rsidP="001A17B1">
      <w:pPr>
        <w:spacing w:after="0" w:line="360" w:lineRule="auto"/>
        <w:ind w:firstLine="720"/>
        <w:jc w:val="both"/>
        <w:rPr>
          <w:rFonts w:ascii="Times New Roman" w:hAnsi="Times New Roman" w:cs="Times New Roman"/>
          <w:sz w:val="28"/>
          <w:szCs w:val="28"/>
          <w:lang w:val="sr-Cyrl-CS"/>
        </w:rPr>
      </w:pPr>
    </w:p>
    <w:p w:rsidR="007D4903" w:rsidRPr="00375480" w:rsidRDefault="007D4903" w:rsidP="001A17B1">
      <w:pPr>
        <w:spacing w:after="0" w:line="360" w:lineRule="auto"/>
        <w:rPr>
          <w:rFonts w:ascii="Times New Roman" w:hAnsi="Times New Roman" w:cs="Times New Roman"/>
          <w:b/>
          <w:bCs/>
          <w:sz w:val="24"/>
          <w:szCs w:val="24"/>
          <w:lang w:val="sr-Cyrl-CS"/>
        </w:rPr>
      </w:pPr>
      <w:r>
        <w:rPr>
          <w:rFonts w:ascii="Times New Roman" w:hAnsi="Times New Roman" w:cs="Times New Roman"/>
          <w:sz w:val="24"/>
          <w:szCs w:val="24"/>
          <w:lang w:val="sr-Cyrl-CS"/>
        </w:rPr>
        <w:t>Београду, 20</w:t>
      </w:r>
      <w:r w:rsidRPr="0037548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01. 2020</w:t>
      </w:r>
      <w:r w:rsidRPr="00375480">
        <w:rPr>
          <w:rFonts w:ascii="Times New Roman" w:hAnsi="Times New Roman" w:cs="Times New Roman"/>
          <w:sz w:val="24"/>
          <w:szCs w:val="24"/>
          <w:lang w:val="sr-Cyrl-CS"/>
        </w:rPr>
        <w:t>. године</w:t>
      </w:r>
    </w:p>
    <w:p w:rsidR="007D4903" w:rsidRDefault="007D4903" w:rsidP="001A17B1">
      <w:pPr>
        <w:spacing w:after="0" w:line="360" w:lineRule="auto"/>
        <w:jc w:val="right"/>
        <w:rPr>
          <w:rFonts w:ascii="Times New Roman" w:hAnsi="Times New Roman" w:cs="Times New Roman"/>
          <w:sz w:val="24"/>
          <w:szCs w:val="24"/>
        </w:rPr>
      </w:pPr>
      <w:r w:rsidRPr="00375480">
        <w:rPr>
          <w:rFonts w:ascii="Times New Roman" w:hAnsi="Times New Roman" w:cs="Times New Roman"/>
          <w:sz w:val="24"/>
          <w:szCs w:val="24"/>
        </w:rPr>
        <w:t>КОМИСИЈА</w:t>
      </w:r>
    </w:p>
    <w:p w:rsidR="007D4903" w:rsidRDefault="007D4903" w:rsidP="001A17B1">
      <w:pPr>
        <w:spacing w:after="0" w:line="360" w:lineRule="auto"/>
        <w:jc w:val="right"/>
        <w:rPr>
          <w:rFonts w:ascii="Times New Roman" w:hAnsi="Times New Roman" w:cs="Times New Roman"/>
          <w:sz w:val="24"/>
          <w:szCs w:val="24"/>
        </w:rPr>
      </w:pPr>
    </w:p>
    <w:p w:rsidR="007D4903" w:rsidRPr="00375480" w:rsidRDefault="007D4903" w:rsidP="001A17B1">
      <w:pPr>
        <w:spacing w:after="0" w:line="360" w:lineRule="auto"/>
        <w:jc w:val="right"/>
        <w:rPr>
          <w:rFonts w:ascii="Times New Roman" w:hAnsi="Times New Roman" w:cs="Times New Roman"/>
          <w:sz w:val="24"/>
          <w:szCs w:val="24"/>
        </w:rPr>
      </w:pPr>
      <w:r w:rsidRPr="00375480">
        <w:rPr>
          <w:rFonts w:ascii="Times New Roman" w:hAnsi="Times New Roman" w:cs="Times New Roman"/>
          <w:sz w:val="24"/>
          <w:szCs w:val="24"/>
        </w:rPr>
        <w:t>_____________________________________</w:t>
      </w:r>
    </w:p>
    <w:p w:rsidR="007D4903" w:rsidRDefault="007D4903" w:rsidP="001A17B1">
      <w:pPr>
        <w:spacing w:after="0" w:line="360" w:lineRule="auto"/>
        <w:jc w:val="right"/>
        <w:rPr>
          <w:rFonts w:ascii="Times New Roman" w:hAnsi="Times New Roman" w:cs="Times New Roman"/>
          <w:sz w:val="24"/>
          <w:szCs w:val="24"/>
        </w:rPr>
      </w:pPr>
      <w:r w:rsidRPr="00375480">
        <w:rPr>
          <w:rFonts w:ascii="Times New Roman" w:hAnsi="Times New Roman" w:cs="Times New Roman"/>
          <w:sz w:val="24"/>
          <w:szCs w:val="24"/>
        </w:rPr>
        <w:t>Др Милан Попадић, ванредни професор</w:t>
      </w:r>
    </w:p>
    <w:p w:rsidR="007D4903" w:rsidRDefault="007D4903" w:rsidP="001A17B1">
      <w:pPr>
        <w:spacing w:after="0" w:line="360" w:lineRule="auto"/>
        <w:jc w:val="right"/>
        <w:rPr>
          <w:rFonts w:ascii="Times New Roman" w:hAnsi="Times New Roman" w:cs="Times New Roman"/>
          <w:sz w:val="24"/>
          <w:szCs w:val="24"/>
        </w:rPr>
      </w:pPr>
    </w:p>
    <w:p w:rsidR="007D4903" w:rsidRPr="00375480" w:rsidRDefault="007D4903" w:rsidP="001A17B1">
      <w:pPr>
        <w:spacing w:after="0" w:line="360" w:lineRule="auto"/>
        <w:jc w:val="right"/>
        <w:rPr>
          <w:rFonts w:ascii="Times New Roman" w:hAnsi="Times New Roman" w:cs="Times New Roman"/>
          <w:sz w:val="24"/>
          <w:szCs w:val="24"/>
        </w:rPr>
      </w:pPr>
      <w:r w:rsidRPr="00375480">
        <w:rPr>
          <w:rFonts w:ascii="Times New Roman" w:hAnsi="Times New Roman" w:cs="Times New Roman"/>
          <w:sz w:val="24"/>
          <w:szCs w:val="24"/>
        </w:rPr>
        <w:t>_____________________________________</w:t>
      </w:r>
    </w:p>
    <w:p w:rsidR="007D4903" w:rsidRDefault="007D4903" w:rsidP="001A17B1">
      <w:pPr>
        <w:spacing w:after="0" w:line="360" w:lineRule="auto"/>
        <w:jc w:val="right"/>
        <w:rPr>
          <w:rFonts w:ascii="Times New Roman" w:hAnsi="Times New Roman" w:cs="Times New Roman"/>
          <w:sz w:val="24"/>
          <w:szCs w:val="24"/>
        </w:rPr>
      </w:pPr>
      <w:r w:rsidRPr="00375480">
        <w:rPr>
          <w:rFonts w:ascii="Times New Roman" w:hAnsi="Times New Roman" w:cs="Times New Roman"/>
          <w:sz w:val="24"/>
          <w:szCs w:val="24"/>
        </w:rPr>
        <w:t xml:space="preserve">Др </w:t>
      </w:r>
      <w:r>
        <w:rPr>
          <w:rFonts w:ascii="Times New Roman" w:hAnsi="Times New Roman" w:cs="Times New Roman"/>
          <w:sz w:val="24"/>
          <w:szCs w:val="24"/>
          <w:lang/>
        </w:rPr>
        <w:t>Никола Крстовић</w:t>
      </w:r>
      <w:r w:rsidRPr="00375480">
        <w:rPr>
          <w:rFonts w:ascii="Times New Roman" w:hAnsi="Times New Roman" w:cs="Times New Roman"/>
          <w:sz w:val="24"/>
          <w:szCs w:val="24"/>
        </w:rPr>
        <w:t>, доцент</w:t>
      </w:r>
    </w:p>
    <w:p w:rsidR="007D4903" w:rsidRDefault="007D4903" w:rsidP="001A17B1">
      <w:pPr>
        <w:spacing w:after="0" w:line="360" w:lineRule="auto"/>
        <w:jc w:val="right"/>
        <w:rPr>
          <w:rFonts w:ascii="Times New Roman" w:hAnsi="Times New Roman" w:cs="Times New Roman"/>
          <w:sz w:val="24"/>
          <w:szCs w:val="24"/>
        </w:rPr>
      </w:pPr>
    </w:p>
    <w:p w:rsidR="007D4903" w:rsidRPr="00375480" w:rsidRDefault="007D4903" w:rsidP="001A17B1">
      <w:pPr>
        <w:spacing w:after="0" w:line="360" w:lineRule="auto"/>
        <w:jc w:val="right"/>
        <w:rPr>
          <w:rFonts w:ascii="Times New Roman" w:hAnsi="Times New Roman" w:cs="Times New Roman"/>
          <w:sz w:val="24"/>
          <w:szCs w:val="24"/>
        </w:rPr>
      </w:pPr>
      <w:r w:rsidRPr="00375480">
        <w:rPr>
          <w:rFonts w:ascii="Times New Roman" w:hAnsi="Times New Roman" w:cs="Times New Roman"/>
          <w:sz w:val="24"/>
          <w:szCs w:val="24"/>
        </w:rPr>
        <w:t>_____________________________________</w:t>
      </w:r>
    </w:p>
    <w:p w:rsidR="007D4903" w:rsidRDefault="007D4903" w:rsidP="001A17B1">
      <w:pPr>
        <w:spacing w:after="0" w:line="360" w:lineRule="auto"/>
        <w:jc w:val="right"/>
        <w:rPr>
          <w:rFonts w:ascii="Times New Roman" w:hAnsi="Times New Roman" w:cs="Times New Roman"/>
          <w:sz w:val="24"/>
          <w:szCs w:val="24"/>
          <w:lang/>
        </w:rPr>
      </w:pPr>
      <w:r w:rsidRPr="00375480">
        <w:rPr>
          <w:rFonts w:ascii="Times New Roman" w:hAnsi="Times New Roman" w:cs="Times New Roman"/>
          <w:sz w:val="24"/>
          <w:szCs w:val="24"/>
        </w:rPr>
        <w:t xml:space="preserve">Др </w:t>
      </w:r>
      <w:r>
        <w:rPr>
          <w:rFonts w:ascii="Times New Roman" w:hAnsi="Times New Roman" w:cs="Times New Roman"/>
          <w:sz w:val="24"/>
          <w:szCs w:val="24"/>
          <w:lang/>
        </w:rPr>
        <w:t>Љиљана Гавриловић</w:t>
      </w:r>
      <w:r w:rsidRPr="00375480">
        <w:rPr>
          <w:rFonts w:ascii="Times New Roman" w:hAnsi="Times New Roman" w:cs="Times New Roman"/>
          <w:sz w:val="24"/>
          <w:szCs w:val="24"/>
        </w:rPr>
        <w:t xml:space="preserve">, </w:t>
      </w:r>
      <w:r>
        <w:rPr>
          <w:rFonts w:ascii="Times New Roman" w:hAnsi="Times New Roman" w:cs="Times New Roman"/>
          <w:sz w:val="24"/>
          <w:szCs w:val="24"/>
          <w:lang/>
        </w:rPr>
        <w:t>научни саветник</w:t>
      </w:r>
    </w:p>
    <w:p w:rsidR="007D4903" w:rsidRPr="00616B04" w:rsidRDefault="007D4903" w:rsidP="001A17B1">
      <w:pPr>
        <w:spacing w:after="0" w:line="360" w:lineRule="auto"/>
        <w:jc w:val="right"/>
        <w:rPr>
          <w:rFonts w:ascii="Times New Roman" w:hAnsi="Times New Roman" w:cs="Times New Roman"/>
          <w:sz w:val="24"/>
          <w:szCs w:val="24"/>
          <w:lang/>
        </w:rPr>
      </w:pPr>
      <w:r>
        <w:rPr>
          <w:rFonts w:ascii="Times New Roman" w:hAnsi="Times New Roman" w:cs="Times New Roman"/>
          <w:sz w:val="24"/>
          <w:szCs w:val="24"/>
          <w:lang/>
        </w:rPr>
        <w:t>Етнографски институт САНУ</w:t>
      </w:r>
    </w:p>
    <w:sectPr w:rsidR="007D4903" w:rsidRPr="00616B04" w:rsidSect="000906B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03" w:rsidRDefault="007D4903" w:rsidP="006C2822">
      <w:pPr>
        <w:spacing w:after="0" w:line="240" w:lineRule="auto"/>
      </w:pPr>
      <w:r>
        <w:separator/>
      </w:r>
    </w:p>
  </w:endnote>
  <w:endnote w:type="continuationSeparator" w:id="1">
    <w:p w:rsidR="007D4903" w:rsidRDefault="007D4903" w:rsidP="006C2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03" w:rsidRDefault="007D4903">
    <w:pPr>
      <w:pStyle w:val="Footer"/>
      <w:jc w:val="center"/>
    </w:pPr>
    <w:r w:rsidRPr="006C2822">
      <w:rPr>
        <w:rFonts w:ascii="Times New Roman" w:hAnsi="Times New Roman" w:cs="Times New Roman"/>
        <w:sz w:val="24"/>
        <w:szCs w:val="24"/>
      </w:rPr>
      <w:fldChar w:fldCharType="begin"/>
    </w:r>
    <w:r w:rsidRPr="006C2822">
      <w:rPr>
        <w:rFonts w:ascii="Times New Roman" w:hAnsi="Times New Roman" w:cs="Times New Roman"/>
        <w:sz w:val="24"/>
        <w:szCs w:val="24"/>
      </w:rPr>
      <w:instrText xml:space="preserve"> PAGE   \* MERGEFORMAT </w:instrText>
    </w:r>
    <w:r w:rsidRPr="006C2822">
      <w:rPr>
        <w:rFonts w:ascii="Times New Roman" w:hAnsi="Times New Roman" w:cs="Times New Roman"/>
        <w:sz w:val="24"/>
        <w:szCs w:val="24"/>
      </w:rPr>
      <w:fldChar w:fldCharType="separate"/>
    </w:r>
    <w:r>
      <w:rPr>
        <w:rFonts w:ascii="Times New Roman" w:hAnsi="Times New Roman" w:cs="Times New Roman"/>
        <w:noProof/>
        <w:sz w:val="24"/>
        <w:szCs w:val="24"/>
      </w:rPr>
      <w:t>1</w:t>
    </w:r>
    <w:r w:rsidRPr="006C2822">
      <w:rPr>
        <w:rFonts w:ascii="Times New Roman" w:hAnsi="Times New Roman" w:cs="Times New Roman"/>
        <w:sz w:val="24"/>
        <w:szCs w:val="24"/>
      </w:rPr>
      <w:fldChar w:fldCharType="end"/>
    </w:r>
  </w:p>
  <w:p w:rsidR="007D4903" w:rsidRDefault="007D4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03" w:rsidRDefault="007D4903" w:rsidP="006C2822">
      <w:pPr>
        <w:spacing w:after="0" w:line="240" w:lineRule="auto"/>
      </w:pPr>
      <w:r>
        <w:separator/>
      </w:r>
    </w:p>
  </w:footnote>
  <w:footnote w:type="continuationSeparator" w:id="1">
    <w:p w:rsidR="007D4903" w:rsidRDefault="007D4903" w:rsidP="006C2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1">
    <w:nsid w:val="0CD91566"/>
    <w:multiLevelType w:val="hybridMultilevel"/>
    <w:tmpl w:val="30A806A8"/>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112A2601"/>
    <w:multiLevelType w:val="hybridMultilevel"/>
    <w:tmpl w:val="5A96B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1C1A3F"/>
    <w:multiLevelType w:val="hybridMultilevel"/>
    <w:tmpl w:val="2B20BF18"/>
    <w:lvl w:ilvl="0" w:tplc="241A000B">
      <w:start w:val="1"/>
      <w:numFmt w:val="bullet"/>
      <w:lvlText w:val=""/>
      <w:lvlJc w:val="left"/>
      <w:pPr>
        <w:ind w:left="1080" w:hanging="360"/>
      </w:pPr>
      <w:rPr>
        <w:rFonts w:ascii="Wingdings" w:hAnsi="Wingdings" w:cs="Wingdings"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cs="Wingdings" w:hint="default"/>
      </w:rPr>
    </w:lvl>
    <w:lvl w:ilvl="3" w:tplc="241A0001">
      <w:start w:val="1"/>
      <w:numFmt w:val="bullet"/>
      <w:lvlText w:val=""/>
      <w:lvlJc w:val="left"/>
      <w:pPr>
        <w:ind w:left="3240" w:hanging="360"/>
      </w:pPr>
      <w:rPr>
        <w:rFonts w:ascii="Symbol" w:hAnsi="Symbol" w:cs="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cs="Wingdings" w:hint="default"/>
      </w:rPr>
    </w:lvl>
    <w:lvl w:ilvl="6" w:tplc="241A0001">
      <w:start w:val="1"/>
      <w:numFmt w:val="bullet"/>
      <w:lvlText w:val=""/>
      <w:lvlJc w:val="left"/>
      <w:pPr>
        <w:ind w:left="5400" w:hanging="360"/>
      </w:pPr>
      <w:rPr>
        <w:rFonts w:ascii="Symbol" w:hAnsi="Symbol" w:cs="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cs="Wingdings" w:hint="default"/>
      </w:rPr>
    </w:lvl>
  </w:abstractNum>
  <w:abstractNum w:abstractNumId="4">
    <w:nsid w:val="3442142B"/>
    <w:multiLevelType w:val="hybridMultilevel"/>
    <w:tmpl w:val="DB0E416A"/>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5">
    <w:nsid w:val="49E93D29"/>
    <w:multiLevelType w:val="hybridMultilevel"/>
    <w:tmpl w:val="0D0280D4"/>
    <w:lvl w:ilvl="0" w:tplc="00000004">
      <w:start w:val="1"/>
      <w:numFmt w:val="bullet"/>
      <w:lvlText w:val=""/>
      <w:lvlJc w:val="left"/>
      <w:pPr>
        <w:ind w:left="720" w:hanging="360"/>
      </w:pPr>
      <w:rPr>
        <w:rFonts w:ascii="Wingdings" w:hAnsi="Wingdings" w:cs="Wingdings"/>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6">
    <w:nsid w:val="771E1005"/>
    <w:multiLevelType w:val="hybridMultilevel"/>
    <w:tmpl w:val="6E089D8E"/>
    <w:lvl w:ilvl="0" w:tplc="00000004">
      <w:start w:val="1"/>
      <w:numFmt w:val="bullet"/>
      <w:lvlText w:val=""/>
      <w:lvlJc w:val="left"/>
      <w:pPr>
        <w:ind w:left="720" w:hanging="360"/>
      </w:pPr>
      <w:rPr>
        <w:rFonts w:ascii="Wingdings" w:hAnsi="Wingdings" w:cs="Wingdings"/>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7">
    <w:nsid w:val="777F0CF1"/>
    <w:multiLevelType w:val="hybridMultilevel"/>
    <w:tmpl w:val="93F6B7B4"/>
    <w:lvl w:ilvl="0" w:tplc="1226B29C">
      <w:start w:val="3"/>
      <w:numFmt w:val="bullet"/>
      <w:lvlText w:val="-"/>
      <w:lvlJc w:val="left"/>
      <w:pPr>
        <w:ind w:left="360" w:hanging="360"/>
      </w:pPr>
      <w:rPr>
        <w:rFonts w:ascii="Times New Roman" w:eastAsia="Times New Roman" w:hAnsi="Times New Roman"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cs="Wingdings" w:hint="default"/>
      </w:rPr>
    </w:lvl>
    <w:lvl w:ilvl="3" w:tplc="241A0001">
      <w:start w:val="1"/>
      <w:numFmt w:val="bullet"/>
      <w:lvlText w:val=""/>
      <w:lvlJc w:val="left"/>
      <w:pPr>
        <w:ind w:left="2520" w:hanging="360"/>
      </w:pPr>
      <w:rPr>
        <w:rFonts w:ascii="Symbol" w:hAnsi="Symbol" w:cs="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cs="Wingdings" w:hint="default"/>
      </w:rPr>
    </w:lvl>
    <w:lvl w:ilvl="6" w:tplc="241A0001">
      <w:start w:val="1"/>
      <w:numFmt w:val="bullet"/>
      <w:lvlText w:val=""/>
      <w:lvlJc w:val="left"/>
      <w:pPr>
        <w:ind w:left="4680" w:hanging="360"/>
      </w:pPr>
      <w:rPr>
        <w:rFonts w:ascii="Symbol" w:hAnsi="Symbol" w:cs="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D8"/>
    <w:rsid w:val="00001CDB"/>
    <w:rsid w:val="0001327A"/>
    <w:rsid w:val="00027173"/>
    <w:rsid w:val="00052B07"/>
    <w:rsid w:val="000600E3"/>
    <w:rsid w:val="000770BD"/>
    <w:rsid w:val="000906B6"/>
    <w:rsid w:val="000A4E89"/>
    <w:rsid w:val="000D687C"/>
    <w:rsid w:val="00104085"/>
    <w:rsid w:val="001155EE"/>
    <w:rsid w:val="00115EE1"/>
    <w:rsid w:val="00123611"/>
    <w:rsid w:val="0012758F"/>
    <w:rsid w:val="001323A0"/>
    <w:rsid w:val="001422DC"/>
    <w:rsid w:val="00142C37"/>
    <w:rsid w:val="00150A62"/>
    <w:rsid w:val="00157410"/>
    <w:rsid w:val="00163FDE"/>
    <w:rsid w:val="001A17B1"/>
    <w:rsid w:val="001C470E"/>
    <w:rsid w:val="001C65A4"/>
    <w:rsid w:val="001D6A38"/>
    <w:rsid w:val="00203676"/>
    <w:rsid w:val="0023701E"/>
    <w:rsid w:val="002621D8"/>
    <w:rsid w:val="00263B0A"/>
    <w:rsid w:val="0028405B"/>
    <w:rsid w:val="002873C7"/>
    <w:rsid w:val="002A277D"/>
    <w:rsid w:val="002B08F8"/>
    <w:rsid w:val="002D0F26"/>
    <w:rsid w:val="002E5034"/>
    <w:rsid w:val="00332E90"/>
    <w:rsid w:val="00344E87"/>
    <w:rsid w:val="00356F3C"/>
    <w:rsid w:val="00375480"/>
    <w:rsid w:val="003A240C"/>
    <w:rsid w:val="003A56CF"/>
    <w:rsid w:val="003C06AC"/>
    <w:rsid w:val="003F3EF0"/>
    <w:rsid w:val="0040725F"/>
    <w:rsid w:val="00411855"/>
    <w:rsid w:val="00433463"/>
    <w:rsid w:val="0043407B"/>
    <w:rsid w:val="00441EBA"/>
    <w:rsid w:val="00466DDC"/>
    <w:rsid w:val="00491A6F"/>
    <w:rsid w:val="00493560"/>
    <w:rsid w:val="004D061E"/>
    <w:rsid w:val="005270C6"/>
    <w:rsid w:val="0056452D"/>
    <w:rsid w:val="00571BE4"/>
    <w:rsid w:val="00586D13"/>
    <w:rsid w:val="005B69E0"/>
    <w:rsid w:val="005E5B60"/>
    <w:rsid w:val="00611906"/>
    <w:rsid w:val="00612698"/>
    <w:rsid w:val="0061275C"/>
    <w:rsid w:val="00616B04"/>
    <w:rsid w:val="00622CA1"/>
    <w:rsid w:val="00624CFF"/>
    <w:rsid w:val="0065711E"/>
    <w:rsid w:val="00672A50"/>
    <w:rsid w:val="00685AD9"/>
    <w:rsid w:val="006A65FC"/>
    <w:rsid w:val="006B64F5"/>
    <w:rsid w:val="006C2822"/>
    <w:rsid w:val="006E59E5"/>
    <w:rsid w:val="006F6D19"/>
    <w:rsid w:val="0072012B"/>
    <w:rsid w:val="007572B9"/>
    <w:rsid w:val="0079661B"/>
    <w:rsid w:val="007D4903"/>
    <w:rsid w:val="00805339"/>
    <w:rsid w:val="0081526D"/>
    <w:rsid w:val="0082440C"/>
    <w:rsid w:val="00825132"/>
    <w:rsid w:val="0083789A"/>
    <w:rsid w:val="00852F92"/>
    <w:rsid w:val="00860453"/>
    <w:rsid w:val="00881AF2"/>
    <w:rsid w:val="00881F08"/>
    <w:rsid w:val="008826D9"/>
    <w:rsid w:val="00883858"/>
    <w:rsid w:val="00893BB7"/>
    <w:rsid w:val="008956C4"/>
    <w:rsid w:val="008A164D"/>
    <w:rsid w:val="008A36BF"/>
    <w:rsid w:val="008D0EFB"/>
    <w:rsid w:val="008E4035"/>
    <w:rsid w:val="00904F9B"/>
    <w:rsid w:val="009631A3"/>
    <w:rsid w:val="00977F7C"/>
    <w:rsid w:val="009A04C0"/>
    <w:rsid w:val="009C4BE4"/>
    <w:rsid w:val="009E16C4"/>
    <w:rsid w:val="00A0424D"/>
    <w:rsid w:val="00A30876"/>
    <w:rsid w:val="00A67FAF"/>
    <w:rsid w:val="00A728BF"/>
    <w:rsid w:val="00A97E94"/>
    <w:rsid w:val="00AE7AF4"/>
    <w:rsid w:val="00AF7C7B"/>
    <w:rsid w:val="00B34127"/>
    <w:rsid w:val="00B35454"/>
    <w:rsid w:val="00B51E63"/>
    <w:rsid w:val="00B639B6"/>
    <w:rsid w:val="00B652BB"/>
    <w:rsid w:val="00B7348F"/>
    <w:rsid w:val="00B75517"/>
    <w:rsid w:val="00B86B2E"/>
    <w:rsid w:val="00BA650D"/>
    <w:rsid w:val="00BB7996"/>
    <w:rsid w:val="00BD0835"/>
    <w:rsid w:val="00C015CD"/>
    <w:rsid w:val="00C157A4"/>
    <w:rsid w:val="00C473C8"/>
    <w:rsid w:val="00C65471"/>
    <w:rsid w:val="00C955D9"/>
    <w:rsid w:val="00D046EB"/>
    <w:rsid w:val="00D1656B"/>
    <w:rsid w:val="00D44354"/>
    <w:rsid w:val="00D44D8D"/>
    <w:rsid w:val="00D520A3"/>
    <w:rsid w:val="00DB775D"/>
    <w:rsid w:val="00E27F47"/>
    <w:rsid w:val="00E359F0"/>
    <w:rsid w:val="00E45DFE"/>
    <w:rsid w:val="00E7122A"/>
    <w:rsid w:val="00E81C7F"/>
    <w:rsid w:val="00E841D3"/>
    <w:rsid w:val="00EC7C94"/>
    <w:rsid w:val="00ED5B8F"/>
    <w:rsid w:val="00EE00AC"/>
    <w:rsid w:val="00EF0603"/>
    <w:rsid w:val="00F76FD8"/>
    <w:rsid w:val="00F822CD"/>
    <w:rsid w:val="00FD4F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B6"/>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3BB7"/>
    <w:pPr>
      <w:tabs>
        <w:tab w:val="left" w:pos="720"/>
      </w:tabs>
      <w:suppressAutoHyphens/>
      <w:spacing w:after="0" w:line="240" w:lineRule="auto"/>
      <w:ind w:left="720"/>
    </w:pPr>
    <w:rPr>
      <w:rFonts w:ascii="Times New Roman" w:eastAsia="Arial Unicode MS" w:hAnsi="Times New Roman" w:cs="Times New Roman"/>
      <w:color w:val="00000A"/>
      <w:kern w:val="1"/>
      <w:sz w:val="24"/>
      <w:szCs w:val="24"/>
      <w:lang w:val="en-GB" w:eastAsia="hi-IN" w:bidi="hi-IN"/>
    </w:rPr>
  </w:style>
  <w:style w:type="character" w:styleId="Emphasis">
    <w:name w:val="Emphasis"/>
    <w:basedOn w:val="DefaultParagraphFont"/>
    <w:uiPriority w:val="99"/>
    <w:qFormat/>
    <w:rsid w:val="00893BB7"/>
    <w:rPr>
      <w:i/>
      <w:iCs/>
    </w:rPr>
  </w:style>
  <w:style w:type="paragraph" w:styleId="Header">
    <w:name w:val="header"/>
    <w:basedOn w:val="Normal"/>
    <w:link w:val="HeaderChar"/>
    <w:uiPriority w:val="99"/>
    <w:semiHidden/>
    <w:rsid w:val="006C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C2822"/>
    <w:rPr>
      <w:lang w:val="en-US" w:eastAsia="en-US"/>
    </w:rPr>
  </w:style>
  <w:style w:type="paragraph" w:styleId="Footer">
    <w:name w:val="footer"/>
    <w:basedOn w:val="Normal"/>
    <w:link w:val="FooterChar"/>
    <w:uiPriority w:val="99"/>
    <w:rsid w:val="006C2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2822"/>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1427</Words>
  <Characters>8135</Characters>
  <Application>Microsoft Office Outlook</Application>
  <DocSecurity>0</DocSecurity>
  <Lines>0</Lines>
  <Paragraphs>0</Paragraphs>
  <ScaleCrop>false</ScaleCrop>
  <Company>FF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НАСТАВНО-НАУЧНОМ ВЕЋУ ФИЛОЗОФСКОГ ФАКУЛТЕТА</dc:title>
  <dc:subject/>
  <dc:creator>Marijana Ricl</dc:creator>
  <cp:keywords/>
  <dc:description/>
  <cp:lastModifiedBy>Sneza Nikolic</cp:lastModifiedBy>
  <cp:revision>2</cp:revision>
  <cp:lastPrinted>2018-10-12T17:30:00Z</cp:lastPrinted>
  <dcterms:created xsi:type="dcterms:W3CDTF">2020-03-16T11:59:00Z</dcterms:created>
  <dcterms:modified xsi:type="dcterms:W3CDTF">2020-03-16T11:59:00Z</dcterms:modified>
</cp:coreProperties>
</file>